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001-34951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20-5313323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Belgrade, Montana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59714</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$0.000001 per share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XTNT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10, 2025, ROS Acquisition Offshore LP (“ROS Acquisition”), Royalty Opportunities S.àr.l (“ROS S.àr.l”) and OrbiMed Royalty Opportunities II, LP (“ORO II” and together with ROS Acquisition and ROS S.àr.l, the “Sellers”), each of which are affiliates of OrbiMed Advisors LLC (“OrbiMed Advisors”) and collectively majority stockholders of Xtant Medical Holdings, Inc. (the “Company”), entered into a Stock Purchase Agreement (the “Stock Purchase Agreement”) with funds affiliated with Nantahala Capital Management, LLC (“Nantahala”), an existing stockholder of the Company, and certain other investors (together with Nantahala, the “Purchasers”), pursuant to which the Sellers agreed to sell to the Purchasers an aggregate of approximately 73.1 million shares (the “Shares”) of common stock, par value $0.000001 per share (the “Common Stock”), of the Company, at a per Share price of $0.42, subject to the terms and conditions contained in the Stock Purchase Agreement. The Company is not party to the Stock Purchase Agreement, which was privately negotiated amongst the Sellers and the Purchasers.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closing of the sale of the Shares pursuant to the Stock Purchase Agreement (the “Transaction”) is anticipated to occur as soon as reasonably practicable upon completion of all closing mechanics. To the Company’s knowledge, based solely on beneficial ownership filings made with the Securities and Exchange Commission (the “SEC”), the Shares to be sold in the Transaction by the affiliates of OrbiMed Advisors constitute all of the issued and outstanding shares of Common Stock held by affiliates of OrbiMed Advisors. As the lead purchaser in the Transaction, Nantahala has agreed to purchase 57.0 million Shares, which together with shares of Common Stock previously held by Nantahala, result in Nantahala holding shares of Common Stock representing 49.1% of the issued and outstanding shares of Common Stock.</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10, 2025, the Company entered into a registration rights agreement (the “Registration Rights Agreement”) with the Purchasers. Pursuant to the Registration Rights Agreement, the Company agreed to prepare and file a shelf resale registration statement (the “Resale Registration Statement”) with the SEC within 30 days of the date of the closing, for purposes of registering the resale of the Shares. Under the terms of the Registration Rights Agreement, the Company agreed to use commercially reasonable efforts to cause the Resale Registration Statement to be declared effective by the SEC within 60 days of the date of the closing (90 days in the event the Resale Registration Statement is reviewed by the SEC). The Company also agreed, among other things, to indemnify the selling stockholders from certain liabilities and to pay all fees and expenses incident to the Company’s performance of or compliance with the Registration Rights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Registration Rights Agreement does not purport to be complete and is qualified in its entirety by the full text of the Registration Rights Agreement filed as Exhibit 10.1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MidCap Credit Agreement Amendments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10, 2025, the Company entered into Amendment No. 2 to Amended and Restated Credit, Security and Guaranty Agreement (Term Loan) (“Term Amendment No. 2”), which amends the Amended and Restated Credit, Security and Guaranty Agreement (Term Loan) by and among the Company, as guarantor, and its U.S. subsidiaries, as borrowers, MidCap Financial Trust, as agent, and the financial institutions party thereto (as amended, the “Term Credit Agreement”), and Amendment No. 2 to Amended and Restated Credit, Security and Guaranty Agreement (Revolving Loan) (together with Term Amendment No. 2, the “Amendments No. 2”), which amends the Amended and Restated Credit, Security and Guaranty Agreement (Revolving Loan) by and among the Company, as guarantor, and its U.S. subsidiaries, as borrowers, MidCap Funding IV Trust, as agent, and the financial institutions party thereto (together with the Term Credit Agreement, the “Credit Agreements”).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Amendments No. 2 amend the definition of “Change in Control” in the Credit Agreements to increase the Common Stock ownership threshold that triggers a Change in Control from 40% to 49.9% such that Nantahala’s ownership percentage following the closing of the Transaction, as described in the Introductory Note hereto, does not result in a Change in Control under the Credit Agreements solely by virtue of Nantahala’s ownership. The terms of borrowing under the Credit Agreements otherwise remain unchanged.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Amendments No. 2 does not purport to be complete and is qualified in its entirety by the full text of the Amendments No. 2, filed as Exhibits 10.2 and 10.3 to this Current Report on Form 8-K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jc w:val="both"/>
        <w:ind w:left="1160" w:hanging="831"/>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Registration Rights Agreement, dated as of April 10, 2025, among Xtant Medical Holdings, Inc. and each of the several purchasers signatory thereto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jc w:val="both"/>
        <w:ind w:left="1160" w:right="20" w:hanging="831"/>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Amendment No. 2 to Amended and Restated Credit, Security and Guaranty Agreement (Term Loan), dated as of April 9, 2025, among Xtant Medical, Inc., Bacterin International, Inc., X-spine Systems, Inc., Surgalign SPV, Inc., and any additional borrower that hereafter becomes party thereto, Xtant Medical Holdings, Inc., as a guarantor, MidCap Financial Trust, as agent, and the other financial institutions or other entities from time to time parties thereto (filed herewith)</w:t>
      </w:r>
    </w:p>
    <w:p>
      <w:pPr>
        <w:spacing w:after="0" w:line="180" w:lineRule="exact"/>
        <w:rPr>
          <w:sz w:val="20"/>
          <w:szCs w:val="20"/>
          <w:color w:val="auto"/>
        </w:rPr>
      </w:pPr>
    </w:p>
    <w:p>
      <w:pPr>
        <w:jc w:val="both"/>
        <w:ind w:left="1160" w:hanging="831"/>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Amendment No. 2 to Amended and Restated Credit, Security and Guaranty Agreement (Revolving Loan), dated as of April 9, 2025, among Xtant Medical, Inc., Bacterin International, Inc., X-spine Systems, Inc., Surgalign SPV, Inc., and any additional borrower that hereafter becomes party thereto, Xtant Medical Holdings, Inc., as a guarantor, MidCap Funding IV Trust, as agent, and the other financial institutions or other entities from time to time parties thereto (filed herewith)</w:t>
      </w:r>
    </w:p>
    <w:p>
      <w:pPr>
        <w:spacing w:after="0" w:line="180"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Neils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Neils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April 10, 2025, by and between</w:t>
      </w:r>
      <w:r>
        <w:rPr>
          <w:rFonts w:ascii="Times New Roman" w:cs="Times New Roman" w:eastAsia="Times New Roman" w:hAnsi="Times New Roman"/>
          <w:sz w:val="18"/>
          <w:szCs w:val="18"/>
          <w:b w:val="1"/>
          <w:bCs w:val="1"/>
          <w:color w:val="auto"/>
        </w:rPr>
        <w:t xml:space="preserve"> X</w:t>
      </w:r>
      <w:r>
        <w:rPr>
          <w:rFonts w:ascii="Times New Roman" w:cs="Times New Roman" w:eastAsia="Times New Roman" w:hAnsi="Times New Roman"/>
          <w:sz w:val="12"/>
          <w:szCs w:val="12"/>
          <w:b w:val="1"/>
          <w:bCs w:val="1"/>
          <w:color w:val="auto"/>
        </w:rPr>
        <w:t>tant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April 10, 2025, among ROS Acquisition Offshore LP, Royalty Opportunities S.àr.l and OrbiMed Royalty Opportunities II, LP and each Purchaser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221" w:lineRule="exact"/>
        <w:rPr>
          <w:sz w:val="20"/>
          <w:szCs w:val="20"/>
          <w:color w:val="auto"/>
        </w:rPr>
      </w:pPr>
    </w:p>
    <w:p>
      <w:pPr>
        <w:ind w:firstLine="8"/>
        <w:spacing w:after="0" w:line="286" w:lineRule="auto"/>
        <w:tabs>
          <w:tab w:leader="none" w:pos="19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color w:val="auto"/>
        </w:rPr>
        <w:t>. Capitalized terms used and not otherwise defined herein that are defined in the Purchase Agreement shall have the meanings given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in the Purchase Agreement. As used in this Agreement, the following terms shall have the following meanings: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shall have the meaning set forth in Section 6(c).</w:t>
      </w:r>
    </w:p>
    <w:p>
      <w:pPr>
        <w:spacing w:after="0" w:line="233" w:lineRule="exact"/>
        <w:rPr>
          <w:sz w:val="20"/>
          <w:szCs w:val="20"/>
          <w:color w:val="auto"/>
        </w:rPr>
      </w:pPr>
    </w:p>
    <w:p>
      <w:pPr>
        <w:jc w:val="both"/>
        <w:ind w:firstLine="648"/>
        <w:spacing w:after="0" w:line="1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Date</w:t>
      </w:r>
      <w:r>
        <w:rPr>
          <w:rFonts w:ascii="Times New Roman" w:cs="Times New Roman" w:eastAsia="Times New Roman" w:hAnsi="Times New Roman"/>
          <w:sz w:val="18"/>
          <w:szCs w:val="18"/>
          <w:color w:val="auto"/>
        </w:rPr>
        <w:t>” means, with respect to a Registration Statement required to be filed hereunder,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and with respect to any additional Registration Statements which may be required pursuant to Section 2(c) or Section 3(c),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Registration Statement is required to be filed hereunder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the Company is notified by the Commission that one or more of the above Registration Statements will not be reviewed or is no longer subject to further review and comments, the Effectiveness Date as to such Registration Statement shall be the 5th Trading Day following the date on which the Company is so notified in writing if such date precedes the dates otherwise required above,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if such Effectiveness Date falls on a day that is not a Trading Day, then the Effectiveness Date shall be the next succeeding Trading Day.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Filing Date</w:t>
      </w:r>
      <w:r>
        <w:rPr>
          <w:rFonts w:ascii="Times New Roman" w:cs="Times New Roman" w:eastAsia="Times New Roman" w:hAnsi="Times New Roman"/>
          <w:sz w:val="18"/>
          <w:szCs w:val="18"/>
          <w:color w:val="auto"/>
        </w:rPr>
        <w:t>” means, with respect to the initial Registration Statement filed,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and, with respect to any additional Registration Statements which may be required pursuant to Section 2(c) or Section 3(c), the earliest practicable date on which the Company is permitted by SEC Guidance to file such additional Registration Statement related to the Registrable Securities.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xml:space="preserve">” means, as of any date of determination, all Shares and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pursuant to such effective Registration Statement or in accordance with Rule 144, or (c) such securities become eligible for resale without volume or manner-of-sale restrictions and without current public information pursuant to Rule 144.</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Suspension Event</w:t>
      </w:r>
      <w:r>
        <w:rPr>
          <w:rFonts w:ascii="Times New Roman" w:cs="Times New Roman" w:eastAsia="Times New Roman" w:hAnsi="Times New Roman"/>
          <w:sz w:val="18"/>
          <w:szCs w:val="18"/>
          <w:color w:val="auto"/>
        </w:rPr>
        <w:t>” shall heave the meaning set forth in Section 3(j).</w:t>
      </w:r>
    </w:p>
    <w:p>
      <w:pPr>
        <w:spacing w:after="0" w:line="22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helf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03"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or prior to the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and substantially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section attached hereto as</w:t>
      </w:r>
      <w:r>
        <w:rPr>
          <w:rFonts w:ascii="Times New Roman" w:cs="Times New Roman" w:eastAsia="Times New Roman" w:hAnsi="Times New Roman"/>
          <w:sz w:val="18"/>
          <w:szCs w:val="18"/>
          <w:b w:val="1"/>
          <w:bCs w:val="1"/>
          <w:color w:val="auto"/>
        </w:rPr>
        <w:t xml:space="preserve"> Annex 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Holder shall be required to be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earlier of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the “</w:t>
      </w:r>
      <w:r>
        <w:rPr>
          <w:rFonts w:ascii="Times New Roman" w:cs="Times New Roman" w:eastAsia="Times New Roman" w:hAnsi="Times New Roman"/>
          <w:sz w:val="18"/>
          <w:szCs w:val="18"/>
          <w:b w:val="1"/>
          <w:bCs w:val="1"/>
          <w:i w:val="1"/>
          <w:iCs w:val="1"/>
          <w:color w:val="auto"/>
        </w:rPr>
        <w:t>Effectiveness Period</w:t>
      </w:r>
      <w:r>
        <w:rPr>
          <w:rFonts w:ascii="Times New Roman" w:cs="Times New Roman" w:eastAsia="Times New Roman" w:hAnsi="Times New Roman"/>
          <w:sz w:val="18"/>
          <w:szCs w:val="18"/>
          <w:color w:val="auto"/>
        </w:rPr>
        <w:t>”). The Company shall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5:30 p.m. (New York City time) on the Trading Day after the effective date of such Registration Statement, file a final Prospectus with the Commission as required by Rule 424.</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56"/>
        <w:spacing w:after="0" w:line="254" w:lineRule="auto"/>
        <w:tabs>
          <w:tab w:leader="none" w:pos="92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2(d) with respect to filing on Form S-3 or other appropriate form;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0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 and</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82"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Shares (applied, in the case that some Shares may be registered, to the Holders on a pro rata basis based on the total number of unregistered Shares held or deemed held by such 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Registration Statement, as amended.</w:t>
      </w:r>
    </w:p>
    <w:p>
      <w:pPr>
        <w:spacing w:after="0" w:line="183" w:lineRule="exact"/>
        <w:rPr>
          <w:sz w:val="20"/>
          <w:szCs w:val="20"/>
          <w:color w:val="auto"/>
        </w:rPr>
      </w:pPr>
    </w:p>
    <w:p>
      <w:pPr>
        <w:jc w:val="both"/>
        <w:ind w:firstLine="656"/>
        <w:spacing w:after="0" w:line="261" w:lineRule="auto"/>
        <w:tabs>
          <w:tab w:leader="none" w:pos="91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shall maintain the effectiveness of the Registration Statement then in effect until such time as a Registration Statement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S-3 covering the Registrable Securities has been declared effective by the Commission.</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0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5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firstLine="656"/>
        <w:spacing w:after="0" w:line="254" w:lineRule="auto"/>
        <w:tabs>
          <w:tab w:leader="none" w:pos="90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 less than two (2)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is notified of such objection in writing no later than two (2) Trading Days after the Holders have been so furnished copies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Registration Statement or one (1) Trading Day after the Holders have been so furnished copies of any related Prospectus or amendments or supplements thereto. On or prior to the Closing Date, each Holder agrees to furnish to the Company a completed questionnaire in the form attached to this Agreement as </w:t>
      </w:r>
      <w:r>
        <w:rPr>
          <w:rFonts w:ascii="Times New Roman" w:cs="Times New Roman" w:eastAsia="Times New Roman" w:hAnsi="Times New Roman"/>
          <w:sz w:val="18"/>
          <w:szCs w:val="18"/>
          <w:b w:val="1"/>
          <w:bCs w:val="1"/>
          <w:color w:val="auto"/>
        </w:rPr>
        <w:t xml:space="preserve">Annex C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Selling Stockholder Questionnaire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56"/>
        <w:spacing w:after="0" w:line="253" w:lineRule="auto"/>
        <w:tabs>
          <w:tab w:leader="none" w:pos="9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excise any information contained therein which would constitute material non-public information regarding the Company),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1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56"/>
        <w:spacing w:after="0" w:line="266" w:lineRule="auto"/>
        <w:tabs>
          <w:tab w:leader="none" w:pos="8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Deliver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item which is available on the EDGAR system (or successor thereto) need not be delivered.</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2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7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(a “</w:t>
      </w:r>
      <w:r>
        <w:rPr>
          <w:rFonts w:ascii="Times New Roman" w:cs="Times New Roman" w:eastAsia="Times New Roman" w:hAnsi="Times New Roman"/>
          <w:sz w:val="18"/>
          <w:szCs w:val="18"/>
          <w:b w:val="1"/>
          <w:bCs w:val="1"/>
          <w:i w:val="1"/>
          <w:iCs w:val="1"/>
          <w:color w:val="auto"/>
        </w:rPr>
        <w:t>Suspension Event</w:t>
      </w:r>
      <w:r>
        <w:rPr>
          <w:rFonts w:ascii="Times New Roman" w:cs="Times New Roman" w:eastAsia="Times New Roman" w:hAnsi="Times New Roman"/>
          <w:sz w:val="18"/>
          <w:szCs w:val="18"/>
          <w:color w:val="auto"/>
        </w:rPr>
        <w:t xml:space="preserve">”) until the requisite changes to such Prospectus have been made, then the Holders shall suspend use of such Prospectus. The Company will use its commercially reasonable efforts to ensure that the use of the Prospectus may be resumed as promptly as is practicable. Upon receipt of any written notice from the Company (which notice shall not contain any material non-public information regarding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it will immediately discontinue offers and sales of the Registrable Securities under the Registration Statement (excluding, for the avoidance of doubt, sales conducted pursuant to Rule 144) until the undersigned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If so directed by the Company, the undersigned will deliver to the Company or, in the undersigned’s sole discretion destroy, all copies of the Prospectus covering the Registrable Securities in the undersigned’s possession;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obligation to deliver or destroy all copies of the Prospectus covering the Registrable Securities shall not apply (w) to the extent the undersigned is required to retain a copy of such prospectus (A) in order to comply with applicable legal, regulatory, self-regulatory or professional requirements or (B) in accordance with a bona fide pre-existing document retention policy or (x) to copies stored electronically on archival servers as a result of automatic data back-up. The Company agrees that the Holders shall not have any duty of confidentiality to the Company as related to any written notice Company (which notice shall not contain any material non-public information regarding the Company) from the Company of the happening of any Suspension Event.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56"/>
        <w:spacing w:after="0" w:line="256" w:lineRule="auto"/>
        <w:tabs>
          <w:tab w:leader="none" w:pos="873"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use its commercially reasonable efforts to maintain eligibility for use of Form S-3 (or any successor form thereto) for the registration of the resale of Registrable Securities.</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82" w:lineRule="auto"/>
        <w:tabs>
          <w:tab w:leader="none" w:pos="863"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57"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 no event shall the Company be responsible for any broker or similar commissions of any Holder or any legal fees or other costs of the Holders.</w:t>
      </w:r>
    </w:p>
    <w:p>
      <w:pPr>
        <w:spacing w:after="0" w:line="189"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Holder, the officers, directors, members, partners, agents and employees, of each of them, each Person who controls any such Holder (within the meaning of Section 15 of the Securities Act or Section 20 of the Exchange Act) and the officers, directors, members, stockholders, partners, agents and employees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xml:space="preserve">”), as incurred, arising out of or relating to (1) any untrue or alleged untrue statement of a material fact contained in a Registration Statement, any Prospectus or any form of prospectus or in any amendment or supplement thereto,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56"/>
        <w:spacing w:after="0" w:line="253" w:lineRule="auto"/>
        <w:tabs>
          <w:tab w:leader="none" w:pos="92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related to: any untrue or alleged untrue statement of a material fact contained in any Registration Statement, any Prospectus, or in any amendment or supplement thereto,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xml:space="preserve">”) in writing, and the Indemnifying Party shall have the right to assume the defense thereof, including the employment of counsel reasonably satisfactory to the Indemnified Party and the payment of all fees and expenses incurred in connection with defense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fifteen (15) Trading Days of written notice thereof to the Indemnifying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3" w:lineRule="exact"/>
        <w:rPr>
          <w:sz w:val="20"/>
          <w:szCs w:val="20"/>
          <w:color w:val="auto"/>
        </w:rPr>
      </w:pPr>
    </w:p>
    <w:p>
      <w:pPr>
        <w:jc w:val="both"/>
        <w:ind w:firstLine="656"/>
        <w:spacing w:after="0" w:line="254" w:lineRule="auto"/>
        <w:tabs>
          <w:tab w:leader="none" w:pos="91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58"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0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1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Piggyback on Registrations; Prohibition on Filing Other Registration Statements</w:t>
      </w:r>
      <w:r>
        <w:rPr>
          <w:rFonts w:ascii="Times New Roman" w:cs="Times New Roman" w:eastAsia="Times New Roman" w:hAnsi="Times New Roman"/>
          <w:sz w:val="18"/>
          <w:szCs w:val="18"/>
          <w:color w:val="auto"/>
        </w:rPr>
        <w:t>. Neither the Company nor any of its security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6(b) shall not prohibit the Company from filing: (1) any registration statement on Form S-8 to register the issuance of shares of Common Stock under an equity compensation plan or arrangement or (2) any amendments to registration statements filed prior to the date of this Agreement so long as no new securities are registered on any such existing registration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56"/>
        <w:spacing w:after="0" w:line="259" w:lineRule="auto"/>
        <w:tabs>
          <w:tab w:leader="none" w:pos="89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1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modified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supplemented, and waivers or consents to departures from the provisions hereof may not be given, unless the same shall be in writing and signed by the Company and the Holders of 50.1% or more of the then outstanding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89"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90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Purchase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7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91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Inconsistent Agreements</w:t>
      </w:r>
      <w:r>
        <w:rPr>
          <w:rFonts w:ascii="Times New Roman" w:cs="Times New Roman" w:eastAsia="Times New Roman" w:hAnsi="Times New Roman"/>
          <w:sz w:val="18"/>
          <w:szCs w:val="18"/>
          <w:color w:val="auto"/>
        </w:rPr>
        <w:t>. The Company has not entered, as of the date hereof, nor shall it, on or after the date of this Agreement,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any agreement with respect to its securities, that would have the effect of impairing the rights granted to the Holders in this Agreement or otherwise conflicts with the provisions hereof. The Company has not previously entered into any agreement granting any registration rights with respect to any of its securities to any Person that have not been satisfied in full.</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93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such signature shall create a valid and binding obligation of the party executing (or on whose behalf such signature is executed) with the same force and effect as if such “.pdf” signature page were an original thereof.</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7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the Purchase Agreement.</w:t>
      </w:r>
    </w:p>
    <w:p>
      <w:pPr>
        <w:spacing w:after="0" w:line="15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656"/>
        <w:spacing w:after="0" w:line="257" w:lineRule="auto"/>
        <w:tabs>
          <w:tab w:leader="none" w:pos="91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6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affect any of the provisions hereof.</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8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emainder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Registration Rights Agreement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tant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[XTANT MEDICAL HOLDINGS, INC. – COMPANY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4" w:right="1440"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Registration Rights Agreement as of the date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Redacted</w:t>
            </w:r>
          </w:p>
        </w:tc>
      </w:tr>
      <w:tr>
        <w:trPr>
          <w:trHeight w:val="42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Redacted</w:t>
            </w:r>
          </w:p>
        </w:tc>
      </w:tr>
      <w:tr>
        <w:trPr>
          <w:trHeight w:val="42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Redacted</w:t>
            </w:r>
          </w:p>
        </w:tc>
      </w:tr>
      <w:tr>
        <w:trPr>
          <w:trHeight w:val="425"/>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Signatory:</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Redacted</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[XTANT MEDICAL HOLDINGS, INC. – PURCHASER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AMENDED AND RESTATED CREDIT, SECURITY AND GUARANTY AGREEMENT (TERM LOAN)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2 TO AMENDED AND RESTATED CREDIT, SECURITY AND GUARANTY AGREEMENT (TERM LOAN)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April 9, 2025, by and among </w:t>
      </w:r>
      <w:r>
        <w:rPr>
          <w:rFonts w:ascii="Times New Roman" w:cs="Times New Roman" w:eastAsia="Times New Roman" w:hAnsi="Times New Roman"/>
          <w:sz w:val="18"/>
          <w:szCs w:val="18"/>
          <w:b w:val="1"/>
          <w:bCs w:val="1"/>
          <w:color w:val="auto"/>
        </w:rPr>
        <w:t>XTANT MEDICAL,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Xtant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BACTERIN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INTERNATIONAL, INC.</w:t>
      </w:r>
      <w:r>
        <w:rPr>
          <w:rFonts w:ascii="Times New Roman" w:cs="Times New Roman" w:eastAsia="Times New Roman" w:hAnsi="Times New Roman"/>
          <w:sz w:val="18"/>
          <w:szCs w:val="18"/>
          <w:color w:val="auto"/>
        </w:rPr>
        <w:t>, a Nevada corporation,</w:t>
      </w:r>
      <w:r>
        <w:rPr>
          <w:rFonts w:ascii="Times New Roman" w:cs="Times New Roman" w:eastAsia="Times New Roman" w:hAnsi="Times New Roman"/>
          <w:sz w:val="18"/>
          <w:szCs w:val="18"/>
          <w:b w:val="1"/>
          <w:bCs w:val="1"/>
          <w:color w:val="auto"/>
        </w:rPr>
        <w:t xml:space="preserve"> X-SPINE SYSTEMS, INC.</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SURGALIGN SPV,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additional borrower that may hereafter be added to this Agreement (each individually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with any entities that become party hereto as Borrower and each of their successors and permitted assigns,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XTANT MEDICAL HOLDINGS,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as a Guarantor, </w:t>
      </w:r>
      <w:r>
        <w:rPr>
          <w:rFonts w:ascii="Times New Roman" w:cs="Times New Roman" w:eastAsia="Times New Roman" w:hAnsi="Times New Roman"/>
          <w:sz w:val="18"/>
          <w:szCs w:val="18"/>
          <w:b w:val="1"/>
          <w:bCs w:val="1"/>
          <w:color w:val="auto"/>
        </w:rPr>
        <w:t>MIDCAP FINANCIAL TRUST</w:t>
      </w:r>
      <w:r>
        <w:rPr>
          <w:rFonts w:ascii="Times New Roman" w:cs="Times New Roman" w:eastAsia="Times New Roman" w:hAnsi="Times New Roman"/>
          <w:sz w:val="18"/>
          <w:szCs w:val="18"/>
          <w:color w:val="auto"/>
        </w:rPr>
        <w:t>, a Delaware statutory trust, as Agent (in such capacity, together with its successors and assigns,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the other financial institutions or other entities from time to time parties to the Credit Agreement referenced below, each as a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Agent, Lenders, and the Credit Parties have entered into that certain Amended and Restated Credit, Security and Guaranty Agreement (Term Loan), dated as of March 7, 2024 (as amended by that certain Amendment No. 1 to Amended and Restated Credit, Security and Guaranty Agreement (Term Loan), dated as of May 14, 2024, and as further amended, restated, supplemented or otherwise modified at any time prior to the date hereof, the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A&amp;R Credit Agreement</w:t>
      </w:r>
      <w:r>
        <w:rPr>
          <w:rFonts w:ascii="Times New Roman" w:cs="Times New Roman" w:eastAsia="Times New Roman" w:hAnsi="Times New Roman"/>
          <w:sz w:val="18"/>
          <w:szCs w:val="18"/>
          <w:color w:val="auto"/>
        </w:rPr>
        <w:t>” and as amended hereby and as it may be further amended, modified, supplemented and restated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pursuant to which the Lenders have agreed to make certain advances of money and to extend certain financial accommodations to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amounts and manner set forth in the Credit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The Credit Parties have requested, and Agent and Lenders have agreed, on and subject to the terms and conditions set forth in this Agreement, to amend certain provisions of the Existing A&amp;R Credit Agreement, all in accordance with the terms and subject to the conditions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terms and conditions set forth in this Agreement, and other good and valuable consideration, the receipt and sufficiency of which are hereby acknowledged, Agent, Lenders and the Credit Parties hereby agree as follows:</w:t>
      </w:r>
    </w:p>
    <w:p>
      <w:pPr>
        <w:spacing w:after="0" w:line="158" w:lineRule="exact"/>
        <w:rPr>
          <w:sz w:val="20"/>
          <w:szCs w:val="20"/>
          <w:color w:val="auto"/>
        </w:rPr>
      </w:pPr>
    </w:p>
    <w:p>
      <w:pPr>
        <w:jc w:val="both"/>
        <w:ind w:firstLine="656"/>
        <w:spacing w:after="0" w:line="26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color w:val="auto"/>
        </w:rPr>
        <w:t>. This Agreement shall constitute a Financing Document and the Recitals and each reference to the Credit Agreement,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firstLine="656"/>
        <w:spacing w:after="0" w:line="286"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Existing A&amp;R Credit Agreement</w:t>
      </w:r>
      <w:r>
        <w:rPr>
          <w:rFonts w:ascii="Times New Roman" w:cs="Times New Roman" w:eastAsia="Times New Roman" w:hAnsi="Times New Roman"/>
          <w:sz w:val="18"/>
          <w:szCs w:val="18"/>
          <w:color w:val="auto"/>
        </w:rPr>
        <w:t>. Subject to the terms and conditions of this Agreement, including, without limitation,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the Existing A&amp;R Credit Agreement is hereby amended as follows:</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(a) of the definition of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Section 1.1 of the Existing A&amp;R Credit Agreement is hereby amended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as follows:</w:t>
      </w:r>
    </w:p>
    <w:p>
      <w:pPr>
        <w:spacing w:after="0" w:line="20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 any “person” or “group” (as such terms are used in Sections 13(d) and 14(d) of the Securities Exchange Act of 1934)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forty-nine and nine tenths of one percent (49.9%) or more of the combined voting power of all voting stock of Holdings on a fully-diluted basis (and taking into account all such securities that such person or group has the right to acquire pursuant to any option right), but excluding any such “person” or “group” that owns, on the Original Closing Date, at least forty-nine and nine tenths of one percent (49.9%) of the combined voting power of all voting stock of Holdings, as so determined;”</w:t>
      </w:r>
    </w:p>
    <w:p>
      <w:pPr>
        <w:spacing w:after="0" w:line="188" w:lineRule="exact"/>
        <w:rPr>
          <w:sz w:val="20"/>
          <w:szCs w:val="20"/>
          <w:color w:val="auto"/>
        </w:rPr>
      </w:pPr>
    </w:p>
    <w:p>
      <w:pPr>
        <w:jc w:val="both"/>
        <w:ind w:firstLine="656"/>
        <w:spacing w:after="0" w:line="255"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Reaffirmation of 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Credit Party hereby confirms that all of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8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become effective as of the date on which each of the following conditions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as determined by Agent in its sole discretion:</w:t>
      </w:r>
    </w:p>
    <w:p>
      <w:pPr>
        <w:spacing w:after="0" w:line="158"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(including by way of facsimile or other electronic transmission) a duly authorized, executed and delivered counterpart of the signature page to this Agreement from each Credit Party, the Agent and the Lenders;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duly executed copy of Amendment No. 2 to Amended and Restated Credit, Security and Guaranty Agreement (Revolving Loan);</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duly executed copy of the Stock Purchase Agreement, dated as of the date hereof, by and among ROS Acquisition Offshore LP, Royalty Opportunities S.àr.l and OrbiMed Royalty Opportunities II, LP, as sellers, and the purchasers party thereto, and confirmation from Borrower that the Closing (as such term is defined therein) has occurred;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in Section 2, all representations and warranties set forth in the Credit Agreement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Borrower’s delivery of its signature hereto shall be deemed to be its certification thereof); and</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to this Agreement, no Default or Event of Default exists under any of the Financing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firstLine="656"/>
        <w:spacing w:after="0" w:line="286" w:lineRule="auto"/>
        <w:tabs>
          <w:tab w:leader="none" w:pos="8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Costs and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shall be responsible for the payment of all reasonable, documented and invoiced out-of-pocket costs and fees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counsel incurred in connection with the preparation, negotiation, execution and delivery of this Agreement and any related Financing Documents.</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agreements of Agent and Lenders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8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 or 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effectiveness of this Agreement shall not, except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amended pursuant to the terms hereof, each Credit Party hereby acknowledges and agrees that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8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the Effect on the Credit Agreement</w:t>
      </w:r>
      <w:r>
        <w:rPr>
          <w:rFonts w:ascii="Times New Roman" w:cs="Times New Roman" w:eastAsia="Times New Roman" w:hAnsi="Times New Roman"/>
          <w:sz w:val="18"/>
          <w:szCs w:val="18"/>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right="20" w:firstLine="1304"/>
        <w:spacing w:after="0" w:line="261" w:lineRule="auto"/>
        <w:tabs>
          <w:tab w:leader="none" w:pos="15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xml:space="preserve">. The provisions contained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13.8(b)</w:t>
      </w:r>
      <w:r>
        <w:rPr>
          <w:rFonts w:ascii="Times New Roman" w:cs="Times New Roman" w:eastAsia="Times New Roman" w:hAnsi="Times New Roman"/>
          <w:sz w:val="18"/>
          <w:szCs w:val="18"/>
          <w:color w:val="auto"/>
        </w:rPr>
        <w:t xml:space="preserve"> (Submission to Jurisdiction) and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xml:space="preserve"> (Waiver of Jury Trial) of the Credit Agreement are incorporated herein by reference to the same extent as if reproduced herein in their entirety.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Agreement are included for convenience of reference only and shall not constitute a part of this Agreement for any other purpose.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18"/>
          <w:szCs w:val="18"/>
          <w:b w:val="1"/>
          <w:bCs w:val="1"/>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to sign, authenticate or accept such contract or other record.</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among the parties hereto and supersedes any and all prior agreements and understandings, oral or written, relating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Successors/Assigns</w:t>
      </w:r>
      <w:r>
        <w:rPr>
          <w:rFonts w:ascii="Times New Roman" w:cs="Times New Roman" w:eastAsia="Times New Roman" w:hAnsi="Times New Roman"/>
          <w:sz w:val="18"/>
          <w:szCs w:val="18"/>
          <w:color w:val="auto"/>
        </w:rPr>
        <w:t>. This Agreement shall bind, and the rights hereunder shall inure to, the respective successors and assigns of the parties hereto, subject to the provisions of the Credit Agreement and the other Financing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FOLLOWING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IN WITNESS WHEREOF, intending to be legally bound, the undersigned have executed this Agreement as of the day and year first hereinabove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MIDCAP FINANCIAL TRUST,</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Agent</w:t>
            </w:r>
          </w:p>
        </w:tc>
      </w:tr>
      <w:tr>
        <w:trPr>
          <w:trHeight w:val="414"/>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14"/>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Maurice Amsellem</w:t>
            </w:r>
          </w:p>
        </w:tc>
      </w:tr>
      <w:tr>
        <w:trPr>
          <w:trHeight w:val="191"/>
        </w:trPr>
        <w:tc>
          <w:tcPr>
            <w:tcW w:w="3160" w:type="dxa"/>
            <w:vAlign w:val="bottom"/>
          </w:tcPr>
          <w:p>
            <w:pPr>
              <w:spacing w:after="0"/>
              <w:rPr>
                <w:sz w:val="16"/>
                <w:szCs w:val="16"/>
                <w:color w:val="auto"/>
              </w:rPr>
            </w:pPr>
          </w:p>
        </w:tc>
        <w:tc>
          <w:tcPr>
            <w:tcW w:w="304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4"/>
        </w:trPr>
        <w:tc>
          <w:tcPr>
            <w:tcW w:w="3160" w:type="dxa"/>
            <w:vAlign w:val="bottom"/>
          </w:tcPr>
          <w:p>
            <w:pPr>
              <w:spacing w:after="0"/>
              <w:rPr>
                <w:sz w:val="20"/>
                <w:szCs w:val="20"/>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ELM 2020-3 TRUST</w:t>
            </w:r>
          </w:p>
        </w:tc>
      </w:tr>
      <w:tr>
        <w:trPr>
          <w:trHeight w:val="414"/>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MidCap Financial Services Capital Management,</w:t>
            </w:r>
          </w:p>
        </w:tc>
      </w:tr>
      <w:tr>
        <w:trPr>
          <w:trHeight w:val="234"/>
        </w:trPr>
        <w:tc>
          <w:tcPr>
            <w:tcW w:w="3280" w:type="dxa"/>
            <w:vAlign w:val="bottom"/>
          </w:tcPr>
          <w:p>
            <w:pPr>
              <w:spacing w:after="0"/>
              <w:rPr>
                <w:sz w:val="20"/>
                <w:szCs w:val="20"/>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LLC, as Servicer</w:t>
            </w:r>
          </w:p>
        </w:tc>
      </w:tr>
      <w:tr>
        <w:trPr>
          <w:trHeight w:val="432"/>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O’Dea</w:t>
            </w:r>
          </w:p>
        </w:tc>
      </w:tr>
      <w:tr>
        <w:trPr>
          <w:trHeight w:val="191"/>
        </w:trPr>
        <w:tc>
          <w:tcPr>
            <w:tcW w:w="3280" w:type="dxa"/>
            <w:vAlign w:val="bottom"/>
          </w:tcPr>
          <w:p>
            <w:pPr>
              <w:spacing w:after="0"/>
              <w:rPr>
                <w:sz w:val="16"/>
                <w:szCs w:val="16"/>
                <w:color w:val="auto"/>
              </w:rPr>
            </w:pPr>
          </w:p>
        </w:tc>
        <w:tc>
          <w:tcPr>
            <w:tcW w:w="292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O’Dea</w:t>
            </w:r>
          </w:p>
        </w:tc>
      </w:tr>
      <w:tr>
        <w:trPr>
          <w:trHeight w:val="234"/>
        </w:trPr>
        <w:tc>
          <w:tcPr>
            <w:tcW w:w="328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328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ELM 2020-4 TRUST</w:t>
            </w:r>
          </w:p>
        </w:tc>
      </w:tr>
      <w:tr>
        <w:trPr>
          <w:trHeight w:val="414"/>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MidCap Financial Services Capital Management,</w:t>
            </w:r>
          </w:p>
        </w:tc>
      </w:tr>
      <w:tr>
        <w:trPr>
          <w:trHeight w:val="234"/>
        </w:trPr>
        <w:tc>
          <w:tcPr>
            <w:tcW w:w="3280" w:type="dxa"/>
            <w:vAlign w:val="bottom"/>
          </w:tcPr>
          <w:p>
            <w:pPr>
              <w:spacing w:after="0"/>
              <w:rPr>
                <w:sz w:val="20"/>
                <w:szCs w:val="20"/>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LLC, as Servicer</w:t>
            </w:r>
          </w:p>
        </w:tc>
      </w:tr>
      <w:tr>
        <w:trPr>
          <w:trHeight w:val="432"/>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O’Dea</w:t>
            </w:r>
          </w:p>
        </w:tc>
      </w:tr>
      <w:tr>
        <w:trPr>
          <w:trHeight w:val="191"/>
        </w:trPr>
        <w:tc>
          <w:tcPr>
            <w:tcW w:w="3280" w:type="dxa"/>
            <w:vAlign w:val="bottom"/>
          </w:tcPr>
          <w:p>
            <w:pPr>
              <w:spacing w:after="0"/>
              <w:rPr>
                <w:sz w:val="16"/>
                <w:szCs w:val="16"/>
                <w:color w:val="auto"/>
              </w:rPr>
            </w:pPr>
          </w:p>
        </w:tc>
        <w:tc>
          <w:tcPr>
            <w:tcW w:w="292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O’Dea</w:t>
            </w:r>
          </w:p>
        </w:tc>
      </w:tr>
      <w:tr>
        <w:trPr>
          <w:trHeight w:val="234"/>
        </w:trPr>
        <w:tc>
          <w:tcPr>
            <w:tcW w:w="328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MIDCAP FUNDING XIII TRUST</w:t>
            </w:r>
          </w:p>
        </w:tc>
      </w:tr>
      <w:tr>
        <w:trPr>
          <w:trHeight w:val="414"/>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3280" w:type="dxa"/>
            <w:vAlign w:val="bottom"/>
          </w:tcPr>
          <w:p>
            <w:pPr>
              <w:spacing w:after="0"/>
              <w:rPr>
                <w:sz w:val="20"/>
                <w:szCs w:val="20"/>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14"/>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3280" w:type="dxa"/>
            <w:vAlign w:val="bottom"/>
          </w:tcPr>
          <w:p>
            <w:pPr>
              <w:spacing w:after="0"/>
              <w:rPr>
                <w:sz w:val="20"/>
                <w:szCs w:val="20"/>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280" w:type="dxa"/>
            <w:vAlign w:val="bottom"/>
          </w:tcPr>
          <w:p>
            <w:pPr>
              <w:spacing w:after="0"/>
              <w:rPr>
                <w:sz w:val="24"/>
                <w:szCs w:val="24"/>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Maurice Amsellem</w:t>
            </w:r>
          </w:p>
        </w:tc>
      </w:tr>
      <w:tr>
        <w:trPr>
          <w:trHeight w:val="191"/>
        </w:trPr>
        <w:tc>
          <w:tcPr>
            <w:tcW w:w="3280" w:type="dxa"/>
            <w:vAlign w:val="bottom"/>
          </w:tcPr>
          <w:p>
            <w:pPr>
              <w:spacing w:after="0"/>
              <w:rPr>
                <w:sz w:val="16"/>
                <w:szCs w:val="16"/>
                <w:color w:val="auto"/>
              </w:rPr>
            </w:pPr>
          </w:p>
        </w:tc>
        <w:tc>
          <w:tcPr>
            <w:tcW w:w="2920" w:type="dxa"/>
            <w:vAlign w:val="bottom"/>
          </w:tcPr>
          <w:p>
            <w:pPr>
              <w:ind w:left="23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4"/>
        </w:trPr>
        <w:tc>
          <w:tcPr>
            <w:tcW w:w="3280" w:type="dxa"/>
            <w:vAlign w:val="bottom"/>
          </w:tcPr>
          <w:p>
            <w:pPr>
              <w:spacing w:after="0"/>
              <w:rPr>
                <w:sz w:val="20"/>
                <w:szCs w:val="20"/>
                <w:color w:val="auto"/>
              </w:rPr>
            </w:pPr>
          </w:p>
        </w:tc>
        <w:tc>
          <w:tcPr>
            <w:tcW w:w="29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3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3" w:name="page24"/>
    <w:bookmarkEnd w:id="23"/>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BORROWERS:</w:t>
      </w:r>
      <w:r>
        <w:rPr>
          <w:sz w:val="20"/>
          <w:szCs w:val="20"/>
          <w:color w:val="auto"/>
        </w:rPr>
        <w:tab/>
      </w:r>
      <w:r>
        <w:rPr>
          <w:rFonts w:ascii="Times New Roman" w:cs="Times New Roman" w:eastAsia="Times New Roman" w:hAnsi="Times New Roman"/>
          <w:sz w:val="18"/>
          <w:szCs w:val="18"/>
          <w:b w:val="1"/>
          <w:bCs w:val="1"/>
          <w:color w:val="auto"/>
        </w:rPr>
        <w:t>XTANT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BACTERIN INTERNATIONAL, INC.</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X-SPINE SYSTEMS,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SURGALIGN SPV,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b w:val="1"/>
          <w:bCs w:val="1"/>
          <w:color w:val="auto"/>
        </w:rPr>
        <w:t>GUARANTOR:</w:t>
      </w:r>
      <w:r>
        <w:rPr>
          <w:sz w:val="20"/>
          <w:szCs w:val="20"/>
          <w:color w:val="auto"/>
        </w:rPr>
        <w:tab/>
      </w:r>
      <w:r>
        <w:rPr>
          <w:rFonts w:ascii="Times New Roman" w:cs="Times New Roman" w:eastAsia="Times New Roman" w:hAnsi="Times New Roman"/>
          <w:sz w:val="17"/>
          <w:szCs w:val="17"/>
          <w:b w:val="1"/>
          <w:bCs w:val="1"/>
          <w:color w:val="auto"/>
        </w:rPr>
        <w:t>XTANT MEDICAL HOLDINGS, INC.</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AMENDED AND RESTATED CREDIT, SECURITY AND GUARANTY AGREEMENT (REVOLVING LOAN)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2 TO AMENDED AND RESTATED CREDIT, SECURITY AND GUARANTY AGREEMENT (REVOLVING LOAN)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April 9, 2025, by and among </w:t>
      </w:r>
      <w:r>
        <w:rPr>
          <w:rFonts w:ascii="Times New Roman" w:cs="Times New Roman" w:eastAsia="Times New Roman" w:hAnsi="Times New Roman"/>
          <w:sz w:val="18"/>
          <w:szCs w:val="18"/>
          <w:b w:val="1"/>
          <w:bCs w:val="1"/>
          <w:color w:val="auto"/>
        </w:rPr>
        <w:t>XTANT MEDICAL,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Xtant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BACTERIN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INTERNATIONAL, INC.</w:t>
      </w:r>
      <w:r>
        <w:rPr>
          <w:rFonts w:ascii="Times New Roman" w:cs="Times New Roman" w:eastAsia="Times New Roman" w:hAnsi="Times New Roman"/>
          <w:sz w:val="18"/>
          <w:szCs w:val="18"/>
          <w:color w:val="auto"/>
        </w:rPr>
        <w:t>, a Nevada corporation,</w:t>
      </w:r>
      <w:r>
        <w:rPr>
          <w:rFonts w:ascii="Times New Roman" w:cs="Times New Roman" w:eastAsia="Times New Roman" w:hAnsi="Times New Roman"/>
          <w:sz w:val="18"/>
          <w:szCs w:val="18"/>
          <w:b w:val="1"/>
          <w:bCs w:val="1"/>
          <w:color w:val="auto"/>
        </w:rPr>
        <w:t xml:space="preserve"> X-SPINE SYSTEMS, INC.</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SURGALIGN SPV,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additional borrower that may hereafter be added to this Agreement (each individually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collectively with any entities that become party hereto as Borrower and each of their successors and permitted assigns,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XTANT MEDICAL HOLDINGS,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as a Guarantor, </w:t>
      </w:r>
      <w:r>
        <w:rPr>
          <w:rFonts w:ascii="Times New Roman" w:cs="Times New Roman" w:eastAsia="Times New Roman" w:hAnsi="Times New Roman"/>
          <w:sz w:val="18"/>
          <w:szCs w:val="18"/>
          <w:b w:val="1"/>
          <w:bCs w:val="1"/>
          <w:color w:val="auto"/>
        </w:rPr>
        <w:t>MIDCAP FUNDING IV TRUST</w:t>
      </w:r>
      <w:r>
        <w:rPr>
          <w:rFonts w:ascii="Times New Roman" w:cs="Times New Roman" w:eastAsia="Times New Roman" w:hAnsi="Times New Roman"/>
          <w:sz w:val="18"/>
          <w:szCs w:val="18"/>
          <w:color w:val="auto"/>
        </w:rPr>
        <w:t>, a Delaware statutory trust, as Agent (in such capacity, together with its successors and assigns,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the other financial institutions or other entities from time to time parties to the Credit Agreement referenced below, each as a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Agent, Lenders, and the Credit Parties have entered into that certain Amended and Restated Credit, Security and Guaranty Agreement (Revolving Loan), dated as of March 7, 2024 (as amended by that certain Amendment No. 1 to Amended and Restated Credit, Security and Guaranty Agreement (Revolving Loan), dated as of May 14, 2024, and as further amended, restated, supplemented or otherwise modified at any time prior to the date hereof, the “</w:t>
      </w:r>
      <w:r>
        <w:rPr>
          <w:rFonts w:ascii="Times New Roman" w:cs="Times New Roman" w:eastAsia="Times New Roman" w:hAnsi="Times New Roman"/>
          <w:sz w:val="18"/>
          <w:szCs w:val="18"/>
          <w:b w:val="1"/>
          <w:bCs w:val="1"/>
          <w:color w:val="auto"/>
        </w:rPr>
        <w:t>Existing A&amp;R Credit Agreement</w:t>
      </w:r>
      <w:r>
        <w:rPr>
          <w:rFonts w:ascii="Times New Roman" w:cs="Times New Roman" w:eastAsia="Times New Roman" w:hAnsi="Times New Roman"/>
          <w:sz w:val="18"/>
          <w:szCs w:val="18"/>
          <w:color w:val="auto"/>
        </w:rPr>
        <w:t>” and as amended hereby and as it may be further amended, modified, supplemented and restated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pursuant to which the Lenders have agreed to make certain advances of money and to extend certain financial accommodations to Borrowers in the amounts and manner set forth in the Credit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The Credit Parties have requested, and Agent and Lenders have agreed, on and subject to the terms and conditions set forth in this Agreement, to amend certain provisions of the Existing A&amp;R Credit Agreement, all in accordance with the terms and subject to the conditions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terms and conditions set forth in this Agreement, and other good and valuable consideration, the receipt and sufficiency of which are hereby acknowledged, Agent, Lenders and the Credit Parties hereby agree as follows:</w:t>
      </w:r>
    </w:p>
    <w:p>
      <w:pPr>
        <w:spacing w:after="0" w:line="158" w:lineRule="exact"/>
        <w:rPr>
          <w:sz w:val="20"/>
          <w:szCs w:val="20"/>
          <w:color w:val="auto"/>
        </w:rPr>
      </w:pPr>
    </w:p>
    <w:p>
      <w:pPr>
        <w:jc w:val="both"/>
        <w:ind w:firstLine="656"/>
        <w:spacing w:after="0" w:line="26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color w:val="auto"/>
        </w:rPr>
        <w:t>. This Agreement shall constitute a Financing Document and the Recitals and each reference to the Credit Agreement,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firstLine="656"/>
        <w:spacing w:after="0" w:line="286"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Existing A&amp;R Credit Agreement</w:t>
      </w:r>
      <w:r>
        <w:rPr>
          <w:rFonts w:ascii="Times New Roman" w:cs="Times New Roman" w:eastAsia="Times New Roman" w:hAnsi="Times New Roman"/>
          <w:sz w:val="18"/>
          <w:szCs w:val="18"/>
          <w:color w:val="auto"/>
        </w:rPr>
        <w:t>. Subject to the terms and conditions of this Agreement, including, without limitation,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to effectiveness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the Existing A&amp;R Credit Agreement is hereby amended as follows:</w:t>
      </w:r>
    </w:p>
    <w:p>
      <w:pPr>
        <w:spacing w:after="0" w:line="15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(a) of the definition of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Section 1.1 of the Existing A&amp;R Credit Agreement is hereby amended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as follows:</w:t>
      </w:r>
    </w:p>
    <w:p>
      <w:pPr>
        <w:spacing w:after="0" w:line="207"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“(a) any “person” or “group” (as such terms are used in Sections 13(d) and 14(d) of the Securities Exchange Act of 1934)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forty-nine and nine tenths of one percent (49.9%) or more of the combined voting power of all voting stock of Holdings on a fully-diluted basis (and taking into account all such securities that such person or group has the right to acquire pursuant to any option right), but excluding any such “person” or “group” that owns, on the Original Closing Date, at least forty-nine and nine tenths of one percent (49.9%) of the combined voting power of all voting stock of Holdings, as so determined;”</w:t>
      </w:r>
    </w:p>
    <w:p>
      <w:pPr>
        <w:spacing w:after="0" w:line="188" w:lineRule="exact"/>
        <w:rPr>
          <w:sz w:val="20"/>
          <w:szCs w:val="20"/>
          <w:color w:val="auto"/>
        </w:rPr>
      </w:pPr>
    </w:p>
    <w:p>
      <w:pPr>
        <w:jc w:val="both"/>
        <w:ind w:firstLine="656"/>
        <w:spacing w:after="0" w:line="255"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Reaffirmation of 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Credit Party hereby confirms that all of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8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become effective as of the date on which each of the following conditions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as determined by Agent in its sole discretion:</w:t>
      </w:r>
    </w:p>
    <w:p>
      <w:pPr>
        <w:spacing w:after="0" w:line="158"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(including by way of facsimile or other electronic transmission) a duly authorized, executed and delivered counterpart of the signature page to this Agreement from each Credit Party, the Agent and the Lenders;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duly executed copy of Amendment No. 2 to Amended and Restated Credit, Security and Guaranty Agreement (Term Loan);</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duly executed copy of the Stock Purchase Agreement, dated as of the date hereof, by and among ROS Acquisition Offshore LP, Royalty Opportunities S.àr.l and OrbiMed Royalty Opportunities II, LP, as sellers, and the purchasers party thereto, and confirmation from Borrower that the Closing (as such term is defined therein) has occurred;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in Section 2, all representations and warranties set forth in the Credit Agreement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Borrower’s delivery of its signature hereto shall be deemed to be its certification thereof); and</w:t>
      </w:r>
    </w:p>
    <w:p>
      <w:pPr>
        <w:spacing w:after="0" w:line="18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to this Agreement, no Default or Event of Default exists under any of the Financing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firstLine="656"/>
        <w:spacing w:after="0" w:line="286" w:lineRule="auto"/>
        <w:tabs>
          <w:tab w:leader="none" w:pos="8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Costs and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shall be responsible for the payment of all reasonable, documented and invoiced out-of-pocket costs and fees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counsel incurred in connection with the preparation, negotiation, execution and delivery of this Agreement and any related Financing Documents.</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agreements of Agent and Lenders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8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 or 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effectiveness of this Agreement shall not, except as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amended pursuant to the terms hereof, each Credit Party hereby acknowledges and agrees that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8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the Effect on the Credit Agreement</w:t>
      </w:r>
      <w:r>
        <w:rPr>
          <w:rFonts w:ascii="Times New Roman" w:cs="Times New Roman" w:eastAsia="Times New Roman" w:hAnsi="Times New Roman"/>
          <w:sz w:val="18"/>
          <w:szCs w:val="18"/>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right="20" w:firstLine="1304"/>
        <w:spacing w:after="0" w:line="261" w:lineRule="auto"/>
        <w:tabs>
          <w:tab w:leader="none" w:pos="15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xml:space="preserve">. The provisions contained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13.8(b)</w:t>
      </w:r>
      <w:r>
        <w:rPr>
          <w:rFonts w:ascii="Times New Roman" w:cs="Times New Roman" w:eastAsia="Times New Roman" w:hAnsi="Times New Roman"/>
          <w:sz w:val="18"/>
          <w:szCs w:val="18"/>
          <w:color w:val="auto"/>
        </w:rPr>
        <w:t xml:space="preserve"> (Submission to Jurisdiction) and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xml:space="preserve"> (Waiver of Jury Trial) of the Credit Agreement are incorporated herein by reference to the same extent as if reproduced herein in their entirety.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Agreement are included for convenience of reference only and shall not constitute a part of this Agreement for any other purpose.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18"/>
          <w:szCs w:val="18"/>
          <w:b w:val="1"/>
          <w:bCs w:val="1"/>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to sign, authenticate or accept such contract or other record.</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among the parties hereto and supersedes any and all prior agreements and understandings, oral or written, relating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Successors/Assigns</w:t>
      </w:r>
      <w:r>
        <w:rPr>
          <w:rFonts w:ascii="Times New Roman" w:cs="Times New Roman" w:eastAsia="Times New Roman" w:hAnsi="Times New Roman"/>
          <w:sz w:val="18"/>
          <w:szCs w:val="18"/>
          <w:color w:val="auto"/>
        </w:rPr>
        <w:t>. This Agreement shall bind, and the rights hereunder shall inure to, the respective successors and assigns of the parties hereto, subject to the provisions of the Credit Agreement and the other Financing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FOLLOWING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IN WITNESS WHEREOF, intending to be legally bound, the undersigned have executed this Agreement as of the day and year first hereinabove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AGENT:</w:t>
            </w: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MIDCAP FUNDING IV TRUST,</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Agent</w:t>
            </w:r>
          </w:p>
        </w:tc>
      </w:tr>
      <w:tr>
        <w:trPr>
          <w:trHeight w:val="414"/>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14"/>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160" w:type="dxa"/>
            <w:vAlign w:val="bottom"/>
          </w:tcPr>
          <w:p>
            <w:pPr>
              <w:spacing w:after="0"/>
              <w:rPr>
                <w:sz w:val="24"/>
                <w:szCs w:val="24"/>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Maurice Amsellem</w:t>
            </w:r>
          </w:p>
        </w:tc>
      </w:tr>
      <w:tr>
        <w:trPr>
          <w:trHeight w:val="191"/>
        </w:trPr>
        <w:tc>
          <w:tcPr>
            <w:tcW w:w="3160" w:type="dxa"/>
            <w:vAlign w:val="bottom"/>
          </w:tcPr>
          <w:p>
            <w:pPr>
              <w:spacing w:after="0"/>
              <w:rPr>
                <w:sz w:val="16"/>
                <w:szCs w:val="16"/>
                <w:color w:val="auto"/>
              </w:rPr>
            </w:pPr>
          </w:p>
        </w:tc>
        <w:tc>
          <w:tcPr>
            <w:tcW w:w="304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4"/>
        </w:trPr>
        <w:tc>
          <w:tcPr>
            <w:tcW w:w="3160" w:type="dxa"/>
            <w:vAlign w:val="bottom"/>
          </w:tcPr>
          <w:p>
            <w:pPr>
              <w:spacing w:after="0"/>
              <w:rPr>
                <w:sz w:val="20"/>
                <w:szCs w:val="20"/>
                <w:color w:val="auto"/>
              </w:rPr>
            </w:pPr>
          </w:p>
        </w:tc>
        <w:tc>
          <w:tcPr>
            <w:tcW w:w="3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3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802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MIDCAP FUNDING IV TRUST,</w:t>
            </w:r>
          </w:p>
        </w:tc>
      </w:tr>
      <w:tr>
        <w:trPr>
          <w:trHeight w:val="234"/>
        </w:trPr>
        <w:tc>
          <w:tcPr>
            <w:tcW w:w="3220" w:type="dxa"/>
            <w:vAlign w:val="bottom"/>
          </w:tcPr>
          <w:p>
            <w:pPr>
              <w:spacing w:after="0"/>
              <w:rPr>
                <w:sz w:val="20"/>
                <w:szCs w:val="20"/>
                <w:color w:val="auto"/>
              </w:rPr>
            </w:pPr>
          </w:p>
        </w:tc>
        <w:tc>
          <w:tcPr>
            <w:tcW w:w="802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as a Lender</w:t>
            </w:r>
          </w:p>
        </w:tc>
      </w:tr>
      <w:tr>
        <w:trPr>
          <w:trHeight w:val="414"/>
        </w:trPr>
        <w:tc>
          <w:tcPr>
            <w:tcW w:w="3220" w:type="dxa"/>
            <w:vAlign w:val="bottom"/>
          </w:tcPr>
          <w:p>
            <w:pPr>
              <w:spacing w:after="0"/>
              <w:rPr>
                <w:sz w:val="24"/>
                <w:szCs w:val="24"/>
                <w:color w:val="auto"/>
              </w:rPr>
            </w:pP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3220" w:type="dxa"/>
            <w:vAlign w:val="bottom"/>
          </w:tcPr>
          <w:p>
            <w:pPr>
              <w:spacing w:after="0"/>
              <w:rPr>
                <w:sz w:val="20"/>
                <w:szCs w:val="20"/>
                <w:color w:val="auto"/>
              </w:rPr>
            </w:pPr>
          </w:p>
        </w:tc>
        <w:tc>
          <w:tcPr>
            <w:tcW w:w="802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14"/>
        </w:trPr>
        <w:tc>
          <w:tcPr>
            <w:tcW w:w="3220" w:type="dxa"/>
            <w:vAlign w:val="bottom"/>
          </w:tcPr>
          <w:p>
            <w:pPr>
              <w:spacing w:after="0"/>
              <w:rPr>
                <w:sz w:val="24"/>
                <w:szCs w:val="24"/>
                <w:color w:val="auto"/>
              </w:rPr>
            </w:pP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3220" w:type="dxa"/>
            <w:vAlign w:val="bottom"/>
          </w:tcPr>
          <w:p>
            <w:pPr>
              <w:spacing w:after="0"/>
              <w:rPr>
                <w:sz w:val="20"/>
                <w:szCs w:val="20"/>
                <w:color w:val="auto"/>
              </w:rPr>
            </w:pPr>
          </w:p>
        </w:tc>
        <w:tc>
          <w:tcPr>
            <w:tcW w:w="802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3220" w:type="dxa"/>
            <w:vAlign w:val="bottom"/>
          </w:tcPr>
          <w:p>
            <w:pPr>
              <w:spacing w:after="0"/>
              <w:rPr>
                <w:sz w:val="24"/>
                <w:szCs w:val="24"/>
                <w:color w:val="auto"/>
              </w:rPr>
            </w:pP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Maurice Amsellem</w:t>
            </w:r>
          </w:p>
        </w:tc>
      </w:tr>
      <w:tr>
        <w:trPr>
          <w:trHeight w:val="191"/>
        </w:trPr>
        <w:tc>
          <w:tcPr>
            <w:tcW w:w="3220" w:type="dxa"/>
            <w:vAlign w:val="bottom"/>
          </w:tcPr>
          <w:p>
            <w:pPr>
              <w:spacing w:after="0"/>
              <w:rPr>
                <w:sz w:val="16"/>
                <w:szCs w:val="16"/>
                <w:color w:val="auto"/>
              </w:rPr>
            </w:pPr>
          </w:p>
        </w:tc>
        <w:tc>
          <w:tcPr>
            <w:tcW w:w="298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Maurice Amsellem</w:t>
            </w:r>
          </w:p>
        </w:tc>
      </w:tr>
      <w:tr>
        <w:trPr>
          <w:trHeight w:val="234"/>
        </w:trPr>
        <w:tc>
          <w:tcPr>
            <w:tcW w:w="3220" w:type="dxa"/>
            <w:vAlign w:val="bottom"/>
          </w:tcPr>
          <w:p>
            <w:pPr>
              <w:spacing w:after="0"/>
              <w:rPr>
                <w:sz w:val="20"/>
                <w:szCs w:val="20"/>
                <w:color w:val="auto"/>
              </w:rPr>
            </w:pP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BORROWERS:</w:t>
      </w:r>
      <w:r>
        <w:rPr>
          <w:sz w:val="20"/>
          <w:szCs w:val="20"/>
          <w:color w:val="auto"/>
        </w:rPr>
        <w:tab/>
      </w:r>
      <w:r>
        <w:rPr>
          <w:rFonts w:ascii="Times New Roman" w:cs="Times New Roman" w:eastAsia="Times New Roman" w:hAnsi="Times New Roman"/>
          <w:sz w:val="18"/>
          <w:szCs w:val="18"/>
          <w:b w:val="1"/>
          <w:bCs w:val="1"/>
          <w:color w:val="auto"/>
        </w:rPr>
        <w:t>XTANT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BACTERIN INTERNATIONAL, INC.</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X-SPINE SYSTEMS,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SURGALIGN SPV,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b w:val="1"/>
          <w:bCs w:val="1"/>
          <w:color w:val="auto"/>
        </w:rPr>
        <w:t>GUARANTOR:</w:t>
      </w:r>
      <w:r>
        <w:rPr>
          <w:sz w:val="20"/>
          <w:szCs w:val="20"/>
          <w:color w:val="auto"/>
        </w:rPr>
        <w:tab/>
      </w:r>
      <w:r>
        <w:rPr>
          <w:rFonts w:ascii="Times New Roman" w:cs="Times New Roman" w:eastAsia="Times New Roman" w:hAnsi="Times New Roman"/>
          <w:sz w:val="17"/>
          <w:szCs w:val="17"/>
          <w:b w:val="1"/>
          <w:bCs w:val="1"/>
          <w:color w:val="auto"/>
        </w:rPr>
        <w:t>XTANT MEDICAL HOLDINGS, INC.</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lvl w:ilvl="1">
      <w:lvlJc w:val="left"/>
      <w:lvlText w:val="(%2)"/>
      <w:numFmt w:val="lowerLetter"/>
      <w:start w:val="1"/>
    </w:lvl>
  </w:abstractNum>
  <w:abstractNum w:abstractNumId="3">
    <w:nsid w:val="1BEFD79F"/>
    <w:multiLevelType w:val="hybridMultilevel"/>
    <w:lvl w:ilvl="0">
      <w:lvlJc w:val="left"/>
      <w:lvlText w:val="(%1)"/>
      <w:numFmt w:val="lowerLetter"/>
      <w:start w:val="2"/>
    </w:lvl>
    <w:lvl w:ilvl="1">
      <w:lvlJc w:val="left"/>
      <w:lvlText w:val="%2."/>
      <w:numFmt w:val="lowerLetter"/>
      <w:start w:val="1"/>
    </w:lvl>
  </w:abstractNum>
  <w:abstractNum w:abstractNumId="4">
    <w:nsid w:val="41A7C4C9"/>
    <w:multiLevelType w:val="hybridMultilevel"/>
    <w:lvl w:ilvl="0">
      <w:lvlJc w:val="left"/>
      <w:lvlText w:val="(%1)"/>
      <w:numFmt w:val="lowerLetter"/>
      <w:start w:val="4"/>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2"/>
    </w:lvl>
  </w:abstractNum>
  <w:abstractNum w:abstractNumId="8">
    <w:nsid w:val="519B500D"/>
    <w:multiLevelType w:val="hybridMultilevel"/>
    <w:lvl w:ilvl="0">
      <w:lvlJc w:val="left"/>
      <w:lvlText w:val="(%1)"/>
      <w:numFmt w:val="lowerLetter"/>
      <w:start w:val="5"/>
    </w:lvl>
  </w:abstractNum>
  <w:abstractNum w:abstractNumId="9">
    <w:nsid w:val="431BD7B7"/>
    <w:multiLevelType w:val="hybridMultilevel"/>
    <w:lvl w:ilvl="0">
      <w:lvlJc w:val="left"/>
      <w:lvlText w:val="%1"/>
      <w:numFmt w:val="decimal"/>
      <w:start w:val="1"/>
    </w:lvl>
    <w:lvl w:ilvl="1">
      <w:lvlJc w:val="left"/>
      <w:lvlText w:val="(%2)"/>
      <w:numFmt w:val="lowerLetter"/>
      <w:start w:val="10"/>
    </w:lvl>
  </w:abstractNum>
  <w:abstractNum w:abstractNumId="10">
    <w:nsid w:val="3F2DBA31"/>
    <w:multiLevelType w:val="hybridMultilevel"/>
    <w:lvl w:ilvl="0">
      <w:lvlJc w:val="left"/>
      <w:lvlText w:val="%1."/>
      <w:numFmt w:val="decimal"/>
      <w:start w:val="4"/>
    </w:lvl>
    <w:lvl w:ilvl="1">
      <w:lvlJc w:val="left"/>
      <w:lvlText w:val="(%2)"/>
      <w:numFmt w:val="lowerLetter"/>
      <w:start w:val="1"/>
    </w:lvl>
  </w:abstractNum>
  <w:abstractNum w:abstractNumId="11">
    <w:nsid w:val="7C83E458"/>
    <w:multiLevelType w:val="hybridMultilevel"/>
    <w:lvl w:ilvl="0">
      <w:lvlJc w:val="left"/>
      <w:lvlText w:val="(%1)"/>
      <w:numFmt w:val="lowerLetter"/>
      <w:start w:val="2"/>
    </w:lvl>
  </w:abstractNum>
  <w:abstractNum w:abstractNumId="12">
    <w:nsid w:val="257130A3"/>
    <w:multiLevelType w:val="hybridMultilevel"/>
    <w:lvl w:ilvl="0">
      <w:lvlJc w:val="left"/>
      <w:lvlText w:val="(%1)"/>
      <w:numFmt w:val="lowerLetter"/>
      <w:start w:val="4"/>
    </w:lvl>
  </w:abstractNum>
  <w:abstractNum w:abstractNumId="13">
    <w:nsid w:val="62BBD95A"/>
    <w:multiLevelType w:val="hybridMultilevel"/>
    <w:lvl w:ilvl="0">
      <w:lvlJc w:val="left"/>
      <w:lvlText w:val="%1."/>
      <w:numFmt w:val="decimal"/>
      <w:start w:val="6"/>
    </w:lvl>
    <w:lvl w:ilvl="1">
      <w:lvlJc w:val="left"/>
      <w:lvlText w:val="(%2)"/>
      <w:numFmt w:val="lowerLetter"/>
      <w:start w:val="1"/>
    </w:lvl>
  </w:abstractNum>
  <w:abstractNum w:abstractNumId="14">
    <w:nsid w:val="436C6125"/>
    <w:multiLevelType w:val="hybridMultilevel"/>
    <w:lvl w:ilvl="0">
      <w:lvlJc w:val="left"/>
      <w:lvlText w:val="(%1)"/>
      <w:numFmt w:val="lowerLetter"/>
      <w:start w:val="3"/>
    </w:lvl>
  </w:abstractNum>
  <w:abstractNum w:abstractNumId="15">
    <w:nsid w:val="628C895D"/>
    <w:multiLevelType w:val="hybridMultilevel"/>
    <w:lvl w:ilvl="0">
      <w:lvlJc w:val="left"/>
      <w:lvlText w:val="(%1)"/>
      <w:numFmt w:val="lowerLetter"/>
      <w:start w:val="1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lvl w:ilvl="1">
      <w:lvlJc w:val="left"/>
      <w:lvlText w:val="(%2)"/>
      <w:numFmt w:val="lowerLetter"/>
      <w:start w:val="1"/>
    </w:lvl>
  </w:abstractNum>
  <w:abstractNum w:abstractNumId="18">
    <w:nsid w:val="2443A858"/>
    <w:multiLevelType w:val="hybridMultilevel"/>
    <w:lvl w:ilvl="0">
      <w:lvlJc w:val="left"/>
      <w:lvlText w:val="%1."/>
      <w:numFmt w:val="decimal"/>
      <w:start w:val="3"/>
    </w:lvl>
    <w:lvl w:ilvl="1">
      <w:lvlJc w:val="left"/>
      <w:lvlText w:val="(%2)"/>
      <w:numFmt w:val="lowerLetter"/>
      <w:start w:val="1"/>
    </w:lvl>
  </w:abstractNum>
  <w:abstractNum w:abstractNumId="19">
    <w:nsid w:val="2D1D5AE9"/>
    <w:multiLevelType w:val="hybridMultilevel"/>
    <w:lvl w:ilvl="0">
      <w:lvlJc w:val="left"/>
      <w:lvlText w:val="%1."/>
      <w:numFmt w:val="decimal"/>
      <w:start w:val="5"/>
    </w:lvl>
    <w:lvl w:ilvl="1">
      <w:lvlJc w:val="left"/>
      <w:lvlText w:val="(%2)"/>
      <w:numFmt w:val="lowerLetter"/>
      <w:start w:val="1"/>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2"/>
    </w:lvl>
    <w:lvl w:ilvl="1">
      <w:lvlJc w:val="left"/>
      <w:lvlText w:val="(%2)"/>
      <w:numFmt w:val="lowerLetter"/>
      <w:start w:val="1"/>
    </w:lvl>
  </w:abstractNum>
  <w:abstractNum w:abstractNumId="23">
    <w:nsid w:val="79838CB2"/>
    <w:multiLevelType w:val="hybridMultilevel"/>
    <w:lvl w:ilvl="0">
      <w:lvlJc w:val="left"/>
      <w:lvlText w:val="%1."/>
      <w:numFmt w:val="decimal"/>
      <w:start w:val="3"/>
    </w:lvl>
    <w:lvl w:ilvl="1">
      <w:lvlJc w:val="left"/>
      <w:lvlText w:val="(%2)"/>
      <w:numFmt w:val="lowerLetter"/>
      <w:start w:val="1"/>
    </w:lvl>
  </w:abstractNum>
  <w:abstractNum w:abstractNumId="24">
    <w:nsid w:val="4353D0CD"/>
    <w:multiLevelType w:val="hybridMultilevel"/>
    <w:lvl w:ilvl="0">
      <w:lvlJc w:val="left"/>
      <w:lvlText w:val="%1."/>
      <w:numFmt w:val="decimal"/>
      <w:start w:val="5"/>
    </w:lvl>
    <w:lvl w:ilvl="1">
      <w:lvlJc w:val="left"/>
      <w:lvlText w:val="(%2)"/>
      <w:numFmt w:val="lowerLetter"/>
      <w:start w:val="1"/>
    </w:lvl>
  </w:abstractNum>
  <w:abstractNum w:abstractNumId="25">
    <w:nsid w:val="B03E0C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2025-04-11T06:10:25Z</dcterms:created>
  <dcterms:modified xsi:type="dcterms:W3CDTF">2025-04-11T06:10:25Z</dcterms:modified>
</cp:coreProperties>
</file>