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As filed with the Securities and Exchange Commission on May 15, 2018</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S-1</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XTANT MEDICAL HOLDINGS,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302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3841</w:t>
            </w:r>
          </w:p>
        </w:tc>
        <w:tc>
          <w:tcPr>
            <w:tcW w:w="264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20-5313323</w:t>
            </w:r>
          </w:p>
        </w:tc>
      </w:tr>
      <w:tr>
        <w:trPr>
          <w:trHeight w:val="216"/>
        </w:trPr>
        <w:tc>
          <w:tcPr>
            <w:tcW w:w="3020" w:type="dxa"/>
            <w:vAlign w:val="bottom"/>
          </w:tcPr>
          <w:p>
            <w:pPr>
              <w:jc w:val="center"/>
              <w:ind w:right="750"/>
              <w:spacing w:after="0"/>
              <w:rPr>
                <w:sz w:val="20"/>
                <w:szCs w:val="20"/>
                <w:color w:val="auto"/>
              </w:rPr>
            </w:pPr>
            <w:r>
              <w:rPr>
                <w:rFonts w:ascii="Arial" w:cs="Arial" w:eastAsia="Arial" w:hAnsi="Arial"/>
                <w:sz w:val="18"/>
                <w:szCs w:val="18"/>
                <w:color w:val="auto"/>
                <w:w w:val="93"/>
              </w:rPr>
              <w:t>(State or other jurisdiction of</w:t>
            </w:r>
          </w:p>
        </w:tc>
        <w:tc>
          <w:tcPr>
            <w:tcW w:w="3920" w:type="dxa"/>
            <w:vAlign w:val="bottom"/>
          </w:tcPr>
          <w:p>
            <w:pPr>
              <w:jc w:val="center"/>
              <w:ind w:right="10"/>
              <w:spacing w:after="0"/>
              <w:rPr>
                <w:sz w:val="20"/>
                <w:szCs w:val="20"/>
                <w:color w:val="auto"/>
              </w:rPr>
            </w:pPr>
            <w:r>
              <w:rPr>
                <w:rFonts w:ascii="Arial" w:cs="Arial" w:eastAsia="Arial" w:hAnsi="Arial"/>
                <w:sz w:val="18"/>
                <w:szCs w:val="18"/>
                <w:color w:val="auto"/>
                <w:w w:val="91"/>
              </w:rPr>
              <w:t>(Primary Standard Industrial</w:t>
            </w:r>
          </w:p>
        </w:tc>
        <w:tc>
          <w:tcPr>
            <w:tcW w:w="2640" w:type="dxa"/>
            <w:vAlign w:val="bottom"/>
          </w:tcPr>
          <w:p>
            <w:pPr>
              <w:jc w:val="center"/>
              <w:ind w:left="870"/>
              <w:spacing w:after="0"/>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right="750"/>
              <w:spacing w:after="0"/>
              <w:rPr>
                <w:sz w:val="20"/>
                <w:szCs w:val="20"/>
                <w:color w:val="auto"/>
              </w:rPr>
            </w:pPr>
            <w:r>
              <w:rPr>
                <w:rFonts w:ascii="Arial" w:cs="Arial" w:eastAsia="Arial" w:hAnsi="Arial"/>
                <w:sz w:val="18"/>
                <w:szCs w:val="18"/>
                <w:color w:val="auto"/>
                <w:w w:val="93"/>
              </w:rPr>
              <w:t>incorporation or organization)</w:t>
            </w:r>
          </w:p>
        </w:tc>
        <w:tc>
          <w:tcPr>
            <w:tcW w:w="3920" w:type="dxa"/>
            <w:vAlign w:val="bottom"/>
          </w:tcPr>
          <w:p>
            <w:pPr>
              <w:jc w:val="center"/>
              <w:ind w:right="30"/>
              <w:spacing w:after="0"/>
              <w:rPr>
                <w:sz w:val="20"/>
                <w:szCs w:val="20"/>
                <w:color w:val="auto"/>
              </w:rPr>
            </w:pPr>
            <w:r>
              <w:rPr>
                <w:rFonts w:ascii="Arial" w:cs="Arial" w:eastAsia="Arial" w:hAnsi="Arial"/>
                <w:sz w:val="18"/>
                <w:szCs w:val="18"/>
                <w:color w:val="auto"/>
                <w:w w:val="92"/>
              </w:rPr>
              <w:t>Classification Code Number)</w:t>
            </w:r>
          </w:p>
        </w:tc>
        <w:tc>
          <w:tcPr>
            <w:tcW w:w="2640" w:type="dxa"/>
            <w:vAlign w:val="bottom"/>
          </w:tcPr>
          <w:p>
            <w:pPr>
              <w:jc w:val="center"/>
              <w:ind w:left="890"/>
              <w:spacing w:after="0"/>
              <w:rPr>
                <w:sz w:val="20"/>
                <w:szCs w:val="20"/>
                <w:color w:val="auto"/>
              </w:rPr>
            </w:pPr>
            <w:r>
              <w:rPr>
                <w:rFonts w:ascii="Arial" w:cs="Arial" w:eastAsia="Arial" w:hAnsi="Arial"/>
                <w:sz w:val="18"/>
                <w:szCs w:val="18"/>
                <w:color w:val="auto"/>
                <w:w w:val="94"/>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664 Cruiser Lane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Belgrade, Montana 59714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(406) 388-0480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Carl O’Connell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Xtant Medical Holdings, Inc.</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664 Cruiser Lane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Belgrade, Montana 59714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(406) 388-0480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Amy E. Culbert, Esq.</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Thomas A. Letscher, Esq.</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Fox Rothschild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(612) 607-7000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Approximate date of commencement of proposed sale to the public:</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From time to time after this registration statement becomes effective as determined by the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10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80"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3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firstLine="32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472" w:right="319" w:bottom="242" w:gutter="0" w:footer="0" w:header="0"/>
        </w:sectPr>
      </w:pPr>
    </w:p>
    <w:p>
      <w:pPr>
        <w:spacing w:after="0" w:line="176"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2">
            <w:col w:w="6520" w:space="720"/>
            <w:col w:w="4100"/>
          </w:cols>
          <w:pgMar w:left="240" w:top="472" w:right="319" w:bottom="242" w:gutter="0" w:footer="0" w:header="0"/>
          <w:type w:val="continuous"/>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Title of each class of</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securities to be registered</w:t>
      </w:r>
    </w:p>
    <w:p>
      <w:pPr>
        <w:spacing w:after="0" w:line="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Common Stock, par value $0.000001 per share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6"/>
          </w:tcPr>
          <w:p>
            <w:pPr>
              <w:ind w:left="440"/>
              <w:spacing w:after="0"/>
              <w:rPr>
                <w:sz w:val="20"/>
                <w:szCs w:val="20"/>
                <w:color w:val="auto"/>
              </w:rPr>
            </w:pPr>
            <w:r>
              <w:rPr>
                <w:rFonts w:ascii="Arial" w:cs="Arial" w:eastAsia="Arial" w:hAnsi="Arial"/>
                <w:sz w:val="18"/>
                <w:szCs w:val="18"/>
                <w:b w:val="1"/>
                <w:bCs w:val="1"/>
                <w:color w:val="auto"/>
              </w:rPr>
              <w:t>CALCULATION OF REGISTRATION FEE</w:t>
            </w: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 to be</w:t>
            </w:r>
          </w:p>
        </w:tc>
        <w:tc>
          <w:tcPr>
            <w:tcW w:w="258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Proposed maximum offering</w:t>
            </w:r>
          </w:p>
        </w:tc>
        <w:tc>
          <w:tcPr>
            <w:tcW w:w="180" w:type="dxa"/>
            <w:vAlign w:val="bottom"/>
          </w:tcPr>
          <w:p>
            <w:pPr>
              <w:spacing w:after="0"/>
              <w:rPr>
                <w:sz w:val="24"/>
                <w:szCs w:val="24"/>
                <w:color w:val="auto"/>
              </w:rPr>
            </w:pPr>
          </w:p>
        </w:tc>
        <w:tc>
          <w:tcPr>
            <w:tcW w:w="2160" w:type="dxa"/>
            <w:vAlign w:val="bottom"/>
            <w:gridSpan w:val="2"/>
          </w:tcPr>
          <w:p>
            <w:pPr>
              <w:ind w:left="80"/>
              <w:spacing w:after="0"/>
              <w:rPr>
                <w:sz w:val="20"/>
                <w:szCs w:val="20"/>
                <w:color w:val="auto"/>
              </w:rPr>
            </w:pPr>
            <w:r>
              <w:rPr>
                <w:rFonts w:ascii="Arial" w:cs="Arial" w:eastAsia="Arial" w:hAnsi="Arial"/>
                <w:sz w:val="18"/>
                <w:szCs w:val="18"/>
                <w:b w:val="1"/>
                <w:bCs w:val="1"/>
                <w:color w:val="auto"/>
              </w:rPr>
              <w:t>Proposed maximum</w:t>
            </w:r>
          </w:p>
        </w:tc>
        <w:tc>
          <w:tcPr>
            <w:tcW w:w="100" w:type="dxa"/>
            <w:vAlign w:val="bottom"/>
          </w:tcPr>
          <w:p>
            <w:pPr>
              <w:spacing w:after="0"/>
              <w:rPr>
                <w:sz w:val="24"/>
                <w:szCs w:val="24"/>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registered (1)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price per share (2)</w:t>
            </w:r>
          </w:p>
        </w:tc>
        <w:tc>
          <w:tcPr>
            <w:tcW w:w="28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8"/>
                <w:szCs w:val="18"/>
                <w:b w:val="1"/>
                <w:bCs w:val="1"/>
                <w:color w:val="auto"/>
                <w:w w:val="99"/>
              </w:rPr>
              <w:t>aggregate offering price (2)</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0"/>
        </w:trPr>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453"/>
        </w:trPr>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11,536,773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260"/>
              <w:spacing w:after="0"/>
              <w:rPr>
                <w:sz w:val="20"/>
                <w:szCs w:val="20"/>
                <w:color w:val="auto"/>
              </w:rPr>
            </w:pPr>
            <w:r>
              <w:rPr>
                <w:rFonts w:ascii="Arial" w:cs="Arial" w:eastAsia="Arial" w:hAnsi="Arial"/>
                <w:sz w:val="18"/>
                <w:szCs w:val="18"/>
                <w:color w:val="auto"/>
              </w:rPr>
              <w:t>76,488,804.99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9,523</w:t>
            </w:r>
          </w:p>
        </w:tc>
      </w:tr>
      <w:tr>
        <w:trPr>
          <w:trHeight w:val="20"/>
        </w:trPr>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-325120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560"/>
            <w:col w:w="7860"/>
          </w:cols>
          <w:pgMar w:left="240" w:top="125" w:right="259" w:bottom="1440" w:gutter="0" w:footer="0" w:header="0"/>
          <w:type w:val="continuous"/>
        </w:sectPr>
      </w:pPr>
    </w:p>
    <w:p>
      <w:pPr>
        <w:spacing w:after="0" w:line="2" w:lineRule="exact"/>
        <w:rPr>
          <w:sz w:val="20"/>
          <w:szCs w:val="20"/>
          <w:color w:val="auto"/>
        </w:rPr>
      </w:pPr>
    </w:p>
    <w:p>
      <w:pPr>
        <w:ind w:left="340" w:right="260" w:hanging="332"/>
        <w:spacing w:after="0" w:line="31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to be registered hereunder consists of an aggregate of 11,536,773 shares of common stock to be sold by the selling stockholders named in this registration statement. In addition, pursuant to Rule 416 under the Securities Act of 1933, this registration statement includes an indeterminate number of additional shares that may be offered and sold to prevent dilution resulting from stock splits, stock dividends or similar transactions.</w:t>
      </w:r>
    </w:p>
    <w:p>
      <w:pPr>
        <w:spacing w:after="0" w:line="173" w:lineRule="exact"/>
        <w:rPr>
          <w:rFonts w:ascii="Arial" w:cs="Arial" w:eastAsia="Arial" w:hAnsi="Arial"/>
          <w:sz w:val="16"/>
          <w:szCs w:val="16"/>
          <w:color w:val="auto"/>
        </w:rPr>
      </w:pPr>
    </w:p>
    <w:p>
      <w:pPr>
        <w:ind w:left="340" w:right="1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457(c) under the Securities Act of 1933, based upon the average of the high and low sale prices of the registrant’s shares of common stock on May 11, 2018, as reported on the NYSE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 w:name="page3"/>
    <w:bookmarkEnd w:id="2"/>
    <w:p>
      <w:pPr>
        <w:ind w:right="280"/>
        <w:spacing w:after="0" w:line="289" w:lineRule="auto"/>
        <w:rPr>
          <w:sz w:val="20"/>
          <w:szCs w:val="20"/>
          <w:color w:val="auto"/>
        </w:rPr>
      </w:pPr>
      <w:r>
        <w:rPr>
          <w:rFonts w:ascii="Arial" w:cs="Arial" w:eastAsia="Arial" w:hAnsi="Arial"/>
          <w:sz w:val="17"/>
          <w:szCs w:val="17"/>
          <w:b w:val="1"/>
          <w:bCs w:val="1"/>
          <w:color w:val="FF0000"/>
        </w:rPr>
        <w:t>The information in this preliminary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of these securities is not permitted.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11,536,773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This prospectus relates to the resale, from time to time, of up to an aggregate of 11,536,773 shares of common stock of Xtant Medical Holdings, Inc. by the selling stockholders named in this prospectus, including their donees, pledgees, transferees, assignees or other successors-in-interest. The selling stockholders acquired these shares from us upon the (i) exchange of outstanding convertible senior notes, in the aggregate principal amount of $1.627 million, into a total of 189,645 shares of common stock on January 17, 2018, (ii) exchange of outstanding convertible senior notes, in the aggregate principal amount of $70.238 million, into a total of 10,401,309 shares of common stock on February 14, 2018, and/or (iii) private placement of 945,819 shares of common stock on February 14, 2018. Unless otherwise provided, all share numbers and share prices in this prospectus reflect a 1-for-12 reverse split of our common stock effected on February 14, 2018. We issued the shares to the selling stockholders pursuant to an exemption from the registration requirements of the Securities Act of 1933, as amended.</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not selling any shares of our common stock under this prospectus and will not receive any proceeds from sales of the shares offered by the selling stockholders, although we will incur expenses in connection with the offering. The registration of the resale of the shares of common stock covered by this prospectus does not necessarily mean that any of the shares will be offered or sold by the selling stockholders. The timing and amount of any sales are within the sole discretion of the selling stockholders.</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shares of common stock offered under this prospectus may be sold by the selling stockholders through public or private transactions, on or off the NYSE American, at prevailing market prices or at privately negotiated prices. For more information on the times and manner in which the selling stockholders may sell the shares of common stock under this prospectus, please see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beginning on page 22 of this prospectus.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shares of common stock are listed on the NYSE American under the symbol “XTNT.” On May 14, 2018, the last reported sale price of our shares of common stock on the NYSE American was $6.45 per share.</w:t>
      </w:r>
    </w:p>
    <w:p>
      <w:pPr>
        <w:spacing w:after="0" w:line="166" w:lineRule="exact"/>
        <w:rPr>
          <w:sz w:val="20"/>
          <w:szCs w:val="20"/>
          <w:color w:val="auto"/>
        </w:rPr>
      </w:pPr>
    </w:p>
    <w:p>
      <w:pPr>
        <w:ind w:right="160" w:firstLine="648"/>
        <w:spacing w:after="0" w:line="386" w:lineRule="auto"/>
        <w:rPr>
          <w:sz w:val="20"/>
          <w:szCs w:val="20"/>
          <w:color w:val="auto"/>
        </w:rPr>
      </w:pPr>
      <w:r>
        <w:rPr>
          <w:rFonts w:ascii="Arial" w:cs="Arial" w:eastAsia="Arial" w:hAnsi="Arial"/>
          <w:sz w:val="15"/>
          <w:szCs w:val="15"/>
          <w:b w:val="1"/>
          <w:bCs w:val="1"/>
          <w:color w:val="auto"/>
        </w:rPr>
        <w:t>Investing in our shares of common stock involves a high degree of risk. We refer you to the section entitled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on page 4 of this prospectus, as well as those risk factors described in any applicable prospectus supplement and in the documents we incorporate by reference.</w:t>
      </w:r>
    </w:p>
    <w:p>
      <w:pPr>
        <w:spacing w:after="0" w:line="93"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04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930"/>
              <w:spacing w:after="0"/>
              <w:rPr>
                <w:sz w:val="20"/>
                <w:szCs w:val="20"/>
                <w:color w:val="auto"/>
              </w:rPr>
            </w:pPr>
            <w:r>
              <w:rPr>
                <w:rFonts w:ascii="Arial" w:cs="Arial" w:eastAsia="Arial" w:hAnsi="Arial"/>
                <w:sz w:val="18"/>
                <w:szCs w:val="18"/>
                <w:color w:val="auto"/>
              </w:rPr>
              <w:t>, 2018.</w:t>
            </w:r>
          </w:p>
        </w:tc>
      </w:tr>
      <w:tr>
        <w:trPr>
          <w:trHeight w:val="689"/>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00" w:type="dxa"/>
            <w:vAlign w:val="bottom"/>
            <w:gridSpan w:val="5"/>
          </w:tcPr>
          <w:p>
            <w:pPr>
              <w:ind w:left="3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gridSpan w:val="5"/>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8280" w:type="dxa"/>
            <w:vAlign w:val="bottom"/>
            <w:tcBorders>
              <w:bottom w:val="single" w:sz="8" w:color="CCEEFF"/>
            </w:tcBorders>
            <w:gridSpan w:val="9"/>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9"/>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STATEMENTS</w:t>
              </w:r>
            </w:hyperlink>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jc w:val="right"/>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iv</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80" w:type="dxa"/>
            <w:vAlign w:val="bottom"/>
            <w:gridSpan w:val="8"/>
            <w:shd w:val="clear" w:color="auto" w:fill="CCEEFF"/>
          </w:tcPr>
          <w:p>
            <w:pPr>
              <w:spacing w:after="0" w:line="17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PROSPECTUS SUMMARY</w:t>
              </w:r>
            </w:hyperlink>
          </w:p>
        </w:tc>
        <w:tc>
          <w:tcPr>
            <w:tcW w:w="8420" w:type="dxa"/>
            <w:vAlign w:val="bottom"/>
            <w:gridSpan w:val="11"/>
            <w:shd w:val="clear" w:color="auto" w:fill="CCEEFF"/>
          </w:tcPr>
          <w:p>
            <w:pPr>
              <w:spacing w:after="0"/>
              <w:rPr>
                <w:sz w:val="15"/>
                <w:szCs w:val="15"/>
                <w:color w:val="auto"/>
              </w:rPr>
            </w:pPr>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80" w:type="dxa"/>
            <w:vAlign w:val="bottom"/>
            <w:gridSpan w:val="8"/>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THE OFFERING</w:t>
              </w:r>
            </w:hyperlink>
          </w:p>
        </w:tc>
        <w:tc>
          <w:tcPr>
            <w:tcW w:w="8420" w:type="dxa"/>
            <w:vAlign w:val="bottom"/>
            <w:gridSpan w:val="11"/>
          </w:tcPr>
          <w:p>
            <w:pPr>
              <w:spacing w:after="0"/>
              <w:rPr>
                <w:sz w:val="15"/>
                <w:szCs w:val="15"/>
                <w:color w:val="auto"/>
              </w:rPr>
            </w:pPr>
          </w:p>
        </w:tc>
        <w:tc>
          <w:tcPr>
            <w:tcW w:w="900" w:type="dxa"/>
            <w:vAlign w:val="bottom"/>
            <w:gridSpan w:val="4"/>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RISK FACTORS</w:t>
              </w:r>
            </w:hyperlink>
          </w:p>
        </w:tc>
        <w:tc>
          <w:tcPr>
            <w:tcW w:w="9260" w:type="dxa"/>
            <w:vAlign w:val="bottom"/>
            <w:gridSpan w:val="16"/>
            <w:shd w:val="clear" w:color="auto" w:fill="CCEEFF"/>
          </w:tcPr>
          <w:p>
            <w:pPr>
              <w:spacing w:after="0"/>
              <w:rPr>
                <w:sz w:val="15"/>
                <w:szCs w:val="15"/>
                <w:color w:val="auto"/>
              </w:rPr>
            </w:pPr>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9"/>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900" w:type="dxa"/>
            <w:vAlign w:val="bottom"/>
            <w:gridSpan w:val="4"/>
          </w:tcPr>
          <w:p>
            <w:pPr>
              <w:jc w:val="right"/>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MARKET PRICE OF OUR COMMON STOCK</w:t>
              </w:r>
            </w:hyperlink>
          </w:p>
        </w:tc>
        <w:tc>
          <w:tcPr>
            <w:tcW w:w="6980" w:type="dxa"/>
            <w:vAlign w:val="bottom"/>
            <w:tcBorders>
              <w:bottom w:val="single" w:sz="8" w:color="CCEEFF"/>
            </w:tcBorders>
            <w:gridSpan w:val="7"/>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9"/>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DIVIDEND POLICY</w:t>
              </w:r>
            </w:hyperlink>
          </w:p>
        </w:tc>
        <w:tc>
          <w:tcPr>
            <w:tcW w:w="900" w:type="dxa"/>
            <w:vAlign w:val="bottom"/>
            <w:gridSpan w:val="4"/>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DILUTION</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9"/>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SECURITIES</w:t>
              </w:r>
            </w:hyperlink>
          </w:p>
        </w:tc>
        <w:tc>
          <w:tcPr>
            <w:tcW w:w="900" w:type="dxa"/>
            <w:vAlign w:val="bottom"/>
            <w:gridSpan w:val="4"/>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SELLING STOCKHOLDERS</w:t>
              </w:r>
            </w:hyperlink>
          </w:p>
        </w:tc>
        <w:tc>
          <w:tcPr>
            <w:tcW w:w="8300" w:type="dxa"/>
            <w:vAlign w:val="bottom"/>
            <w:tcBorders>
              <w:bottom w:val="single" w:sz="8" w:color="CCEEFF"/>
            </w:tcBorders>
            <w:gridSpan w:val="10"/>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9"/>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PLAN OF DISTRIBUTION</w:t>
              </w:r>
            </w:hyperlink>
          </w:p>
        </w:tc>
        <w:tc>
          <w:tcPr>
            <w:tcW w:w="900" w:type="dxa"/>
            <w:vAlign w:val="bottom"/>
            <w:gridSpan w:val="4"/>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9"/>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9060" w:type="dxa"/>
            <w:vAlign w:val="bottom"/>
            <w:tcBorders>
              <w:top w:val="single" w:sz="8" w:color="CCEEFF"/>
            </w:tcBorders>
            <w:gridSpan w:val="14"/>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9"/>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ADDITIONAL INFORMATION</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9"/>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INCORPORATION OF CERTAIN DOCUMENTS BY REFERENCE</w:t>
              </w:r>
            </w:hyperlink>
          </w:p>
        </w:tc>
        <w:tc>
          <w:tcPr>
            <w:tcW w:w="900" w:type="dxa"/>
            <w:vAlign w:val="bottom"/>
            <w:gridSpan w:val="4"/>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9"/>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DISCLOSURE OF COMMISSION POSITION ON INDEMNIFICATION FOR SECURITIES ACT LIABILITY</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40" w:type="dxa"/>
            <w:vAlign w:val="bottom"/>
            <w:tcBorders>
              <w:top w:val="single" w:sz="8" w:color="0000EE"/>
              <w:bottom w:val="single" w:sz="8" w:color="auto"/>
            </w:tcBorders>
          </w:tcPr>
          <w:p>
            <w:pPr>
              <w:spacing w:after="0"/>
              <w:rPr>
                <w:sz w:val="18"/>
                <w:szCs w:val="18"/>
                <w:color w:val="auto"/>
              </w:rPr>
            </w:pPr>
          </w:p>
        </w:tc>
        <w:tc>
          <w:tcPr>
            <w:tcW w:w="640" w:type="dxa"/>
            <w:vAlign w:val="bottom"/>
            <w:tcBorders>
              <w:top w:val="single" w:sz="8" w:color="0000EE"/>
              <w:bottom w:val="single" w:sz="8" w:color="auto"/>
            </w:tcBorders>
          </w:tcPr>
          <w:p>
            <w:pPr>
              <w:spacing w:after="0"/>
              <w:rPr>
                <w:sz w:val="18"/>
                <w:szCs w:val="18"/>
                <w:color w:val="auto"/>
              </w:rPr>
            </w:pPr>
          </w:p>
        </w:tc>
        <w:tc>
          <w:tcPr>
            <w:tcW w:w="280" w:type="dxa"/>
            <w:vAlign w:val="bottom"/>
            <w:tcBorders>
              <w:top w:val="single" w:sz="8" w:color="0000EE"/>
              <w:bottom w:val="single" w:sz="8" w:color="auto"/>
            </w:tcBorders>
          </w:tcPr>
          <w:p>
            <w:pPr>
              <w:spacing w:after="0"/>
              <w:rPr>
                <w:sz w:val="18"/>
                <w:szCs w:val="18"/>
                <w:color w:val="auto"/>
              </w:rPr>
            </w:pPr>
          </w:p>
        </w:tc>
        <w:tc>
          <w:tcPr>
            <w:tcW w:w="1800" w:type="dxa"/>
            <w:vAlign w:val="bottom"/>
            <w:tcBorders>
              <w:top w:val="single" w:sz="8" w:color="0000EE"/>
              <w:bottom w:val="single" w:sz="8" w:color="auto"/>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b w:val="1"/>
          <w:bCs w:val="1"/>
          <w:color w:val="auto"/>
        </w:rPr>
        <w:t>We are responsible for the information contained and incorporated by reference in this prospectus and any accompanying prospectus supplement we prepare or authorize. Neither we nor the selling stockholders have authorized anyone to provide any information or to make any representations other than those contained in or incorporated by reference into this prospectus and any accompanying prospectus supplement we have prepared. We take no responsibility for, and can provide no assurance as to the reliability of, any other information that others may give you. This prospectus and any accompanying prospectus supplement are an offer to sell only the shares offered hereby, but only under circumstances and in jurisdictions where it is lawful to do so. The information contained in this prospectus and any accompanying prospectus supplement is current only as of the date of the applicable document. Our business, financial condition, results of operations and prospects may have changed since those dates. It is important for you to read and consider all the information contained in this prospectus and in any accompanying prospectus supplement, including the documents incorporated by reference herein or therein, before making your investment decision.</w:t>
      </w:r>
    </w:p>
    <w:p>
      <w:pPr>
        <w:spacing w:after="0" w:line="160" w:lineRule="exact"/>
        <w:rPr>
          <w:sz w:val="20"/>
          <w:szCs w:val="20"/>
          <w:color w:val="auto"/>
        </w:rPr>
      </w:pPr>
    </w:p>
    <w:p>
      <w:pPr>
        <w:ind w:right="280" w:firstLine="648"/>
        <w:spacing w:after="0" w:line="303" w:lineRule="auto"/>
        <w:rPr>
          <w:sz w:val="20"/>
          <w:szCs w:val="20"/>
          <w:color w:val="auto"/>
        </w:rPr>
      </w:pPr>
      <w:r>
        <w:rPr>
          <w:rFonts w:ascii="Arial" w:cs="Arial" w:eastAsia="Arial" w:hAnsi="Arial"/>
          <w:sz w:val="16"/>
          <w:szCs w:val="16"/>
          <w:b w:val="1"/>
          <w:bCs w:val="1"/>
          <w:color w:val="auto"/>
        </w:rPr>
        <w:t>For investors outside the United States: we have not, and the selling stockholders have not, taken any action to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 and sale of the common stock and the distribution of this prospectus outside the United States.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This prospectus is a part of a shelf registration statement on Form S-1 that we filed with the U.S. Securities and Exchange Commission (SEC), under the Securities Act of 1933, as amended (Securities Act), using a “shelf” registration process. Under this shelf registration process, the selling stockholders named in this prospectus may offer or sell shares of common stock in one or more offerings from time to time. Each time any selling stockholder named in this prospectus (or in any supplement to this prospectus) sells shares of common stock under the registration statement of which this prospectus is a part, such selling stockholder must provide a copy of this prospectus and any applicable prospectus supplement, to a potential purchaser, as required by law.</w:t>
      </w:r>
    </w:p>
    <w:p>
      <w:pPr>
        <w:spacing w:after="0" w:line="15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certain circumstances we may provide a prospectus supplement that may add, update or change information contained in this prospectus. Any statement that we make in this prospectus will be modified or superseded by any inconsistent statement made by us in a prospectus supplement. You should read both this prospectus and any prospectus supplement, including all documents incorporated herein or therein by reference, together with additional information described under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and “</w:t>
      </w:r>
      <w:r>
        <w:rPr>
          <w:rFonts w:ascii="Arial" w:cs="Arial" w:eastAsia="Arial" w:hAnsi="Arial"/>
          <w:sz w:val="16"/>
          <w:szCs w:val="16"/>
          <w:i w:val="1"/>
          <w:iCs w:val="1"/>
          <w:color w:val="auto"/>
        </w:rPr>
        <w:t>Incorporation of Certain Documents by Reference</w:t>
      </w:r>
      <w:r>
        <w:rPr>
          <w:rFonts w:ascii="Arial" w:cs="Arial" w:eastAsia="Arial" w:hAnsi="Arial"/>
          <w:sz w:val="16"/>
          <w:szCs w:val="16"/>
          <w:color w:val="auto"/>
        </w:rPr>
        <w:t>.”</w:t>
      </w:r>
    </w:p>
    <w:p>
      <w:pPr>
        <w:spacing w:after="0" w:line="15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Neither we, nor the selling stockholders, have authorized any other person to provide you with different information. If anyone provides you with different or inconsistent information, you should not rely on it. Neither we nor any of the selling stockholders will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5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w:t>
      </w:r>
      <w:r>
        <w:rPr>
          <w:rFonts w:ascii="Arial" w:cs="Arial" w:eastAsia="Arial" w:hAnsi="Arial"/>
          <w:sz w:val="17"/>
          <w:szCs w:val="17"/>
          <w:i w:val="1"/>
          <w:iCs w:val="1"/>
          <w:color w:val="auto"/>
        </w:rPr>
        <w:t>Risk Factors</w:t>
      </w:r>
      <w:r>
        <w:rPr>
          <w:rFonts w:ascii="Arial" w:cs="Arial" w:eastAsia="Arial" w:hAnsi="Arial"/>
          <w:sz w:val="17"/>
          <w:szCs w:val="17"/>
          <w:color w:val="auto"/>
        </w:rPr>
        <w:t>.” These and other factors could cause our future performance to differ materially from our assumptions and estimates. See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Solely for convenience, trademarks and trade names referred to in this prospectus may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Unless the context otherwise indicates, the terms “Xtant,” “XTNT,” “Company,” “we,” “us,” and “our” as used in this prospectus refer to Xtant Medical Holdings, Inc. and our subsidiaries, and the term “shares of common stock” refers to our common stock, par value $0.000001 per share. The phrase “this prospectus” refers to this prospectus and any applicable prospectus supplement, unless the context otherwise requires.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prospectus and the documents incorporated by reference in this prospectus and any prospectus supplement contain “forward-looking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statements” that involve risks and uncertainties, as well as assumptions that, if they never materialize or prove incorrect, could cause our results to differ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materially from those expressed or implied by such forward-looking statements. The statements contained in this prospectus and the documents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reference in this prospectus and any prospectus supplement that are not purely historical are “forward-looking statements”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27A of the Securities Act. Forward-looking statements are identified by the use of words such as, but not limited to, “anticipate,” “believe,”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“continue,” “could,” “estimate,” “prospects,” “forecasts,” “expect,” “intend,” “may,” “will,” “plan,” “target,” and similar expressions or variations intended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identify forward-looking statements. These statements are based on the beliefs and assumptions of our management based on information currently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management. Such forward-looking statements are subject to risks, uncertainties and other important factors that could cause actual results and the timing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certain events to differ materially from future results expressed or implied by such forward-looking statements. Factors that could cause or contribute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differences include, but are not limited to, factors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and the risk factors and cautionary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described in other documents that we file from time to time with the SEC, specifically under “</w:t>
      </w:r>
      <w:r>
        <w:rPr>
          <w:rFonts w:ascii="Arial" w:cs="Arial" w:eastAsia="Arial" w:hAnsi="Arial"/>
          <w:sz w:val="16"/>
          <w:szCs w:val="16"/>
          <w:i w:val="1"/>
          <w:iCs w:val="1"/>
          <w:color w:val="auto"/>
        </w:rPr>
        <w:t>Risk Factors</w:t>
      </w:r>
      <w:r>
        <w:rPr>
          <w:rFonts w:ascii="Arial" w:cs="Arial" w:eastAsia="Arial" w:hAnsi="Arial"/>
          <w:sz w:val="16"/>
          <w:szCs w:val="16"/>
          <w:color w:val="auto"/>
        </w:rPr>
        <w:t>,” including the risks described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 I—Item 1A. Risk Factors</w:t>
      </w:r>
      <w:r>
        <w:rPr>
          <w:rFonts w:ascii="Arial" w:cs="Arial" w:eastAsia="Arial" w:hAnsi="Arial"/>
          <w:sz w:val="16"/>
          <w:szCs w:val="16"/>
          <w:color w:val="auto"/>
        </w:rPr>
        <w:t>” beginning on page 13 of our Annual Report on Form 10-K for the fiscal year ended December 31, 2017, which is on file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 and is incorporated herein by reference, any amendment or update thereto reflected in subsequent filings with the SEC, including without limitation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Quarterly Report on Form 10-Q for the fiscal quarter ended March 31, 2018, and all other annual, quarterly and other reports that we file with the SEC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the date of this prospectus and that also are incorporated herein by reference.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way of example and without implied limitation, such risks and uncertainties include:</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the covenants in our Amended and Restated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sufficient liquidity to fund our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on reasonable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increase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sales force to achieve expected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competitive;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government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innovate and develop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donor cadavers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engage and retain qualified technical personnel and members of our management team;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our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government and third-party coverage and reimbursement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regulatory approvals and remain accredited with the American Association of Tissue Banks;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integrate future business combinations or acquisitions;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to offset future taxable income;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deduct all or a portion of the interest payments on our indebtedness for U.S. Federal income tax purposes;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product recalls and defects;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and results of clinical studies; and</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protect our intellectual property and proprietary rights and operate without infringing the intellectual property rights of others.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w:t>
      </w:r>
      <w:r>
        <w:rPr>
          <w:rFonts w:ascii="Arial" w:cs="Arial" w:eastAsia="Arial" w:hAnsi="Arial"/>
          <w:sz w:val="17"/>
          <w:szCs w:val="17"/>
          <w:i w:val="1"/>
          <w:iCs w:val="1"/>
          <w:color w:val="auto"/>
        </w:rPr>
        <w:t>Part</w:t>
      </w:r>
      <w:r>
        <w:rPr>
          <w:rFonts w:ascii="Arial" w:cs="Arial" w:eastAsia="Arial" w:hAnsi="Arial"/>
          <w:sz w:val="17"/>
          <w:szCs w:val="17"/>
          <w:color w:val="auto"/>
        </w:rPr>
        <w:t xml:space="preserve"> </w:t>
      </w:r>
      <w:r>
        <w:rPr>
          <w:rFonts w:ascii="Arial" w:cs="Arial" w:eastAsia="Arial" w:hAnsi="Arial"/>
          <w:sz w:val="17"/>
          <w:szCs w:val="17"/>
          <w:i w:val="1"/>
          <w:iCs w:val="1"/>
          <w:color w:val="auto"/>
        </w:rPr>
        <w:t>I. Item 1A. Risk Factors</w:t>
      </w:r>
      <w:r>
        <w:rPr>
          <w:rFonts w:ascii="Arial" w:cs="Arial" w:eastAsia="Arial" w:hAnsi="Arial"/>
          <w:sz w:val="17"/>
          <w:szCs w:val="17"/>
          <w:color w:val="auto"/>
        </w:rPr>
        <w:t>” of our most recent Annual Report on Form 10-K for the fiscal year ended December 31, 2017, as updated by our Quarterly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10-Q for the fiscal quarter ended March 31, 2018. The risks and uncertainties described above and in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 of our most recent Annual Report on Form 10-K for the fiscal year ended December 31, 2017, as updated by our Quarterly Report on Form 10-Q for the fiscal quarter ended March 31, 2018, are not exclusive and further information concerning us and our business, including factors that potentially could materially affect our financial results or condition, may emerge from time to time. We assume no obligation to update, amend, or clarify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067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t>PROSPECTUS SUMMARY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summary highlights certain information about us, this offering and selected information contained in the prospectus. This summary is not complete and does not contain all of the information that you should consider before deciding whether to invest in our common stock. For a more complete understanding of our company and this offering, we encourage you to read and consider the more detailed information included or incorporated by reference in this prospectus, including “</w:t>
      </w:r>
      <w:r>
        <w:rPr>
          <w:rFonts w:ascii="Arial" w:cs="Arial" w:eastAsia="Arial" w:hAnsi="Arial"/>
          <w:sz w:val="18"/>
          <w:szCs w:val="18"/>
          <w:i w:val="1"/>
          <w:iCs w:val="1"/>
          <w:color w:val="auto"/>
        </w:rPr>
        <w:t>Risk Factors</w:t>
      </w:r>
      <w:r>
        <w:rPr>
          <w:rFonts w:ascii="Arial" w:cs="Arial" w:eastAsia="Arial" w:hAnsi="Arial"/>
          <w:sz w:val="18"/>
          <w:szCs w:val="18"/>
          <w:color w:val="auto"/>
        </w:rPr>
        <w:t>” and the financial statements and related notes. See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of Certain Documents by Reference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Xtant Medical Holdings, Inc.</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Xtant Medical Holdings, Inc. develops, manufactures and markets regenerative medicine products and medical devices for domestic and international markets. Our products serve the specialized needs of orthopedic and neurological surgeons, including orthobiologics for the promotion of bone healing, implants and instrumentation for the treatment of spinal disease, tissue grafts for the treatment of orthopedic disorders, and biologics to promote healing following cranial, and foot and ankle surgeries. We believe the following competitive strengths will be key drivers of our future growth:</w:t>
      </w:r>
    </w:p>
    <w:p>
      <w:pPr>
        <w:spacing w:after="0" w:line="154"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i w:val="1"/>
          <w:iCs w:val="1"/>
          <w:color w:val="auto"/>
        </w:rPr>
        <w:t>Portfolio of Proprietary Technologies</w:t>
      </w:r>
      <w:r>
        <w:rPr>
          <w:rFonts w:ascii="Arial" w:cs="Arial" w:eastAsia="Arial" w:hAnsi="Arial"/>
          <w:sz w:val="18"/>
          <w:szCs w:val="18"/>
          <w:color w:val="auto"/>
        </w:rPr>
        <w:t>: Xtant has developed a comprehensive portfolio of products that address a broad array of spinal</w:t>
      </w:r>
      <w:r>
        <w:rPr>
          <w:rFonts w:ascii="Arial" w:cs="Arial" w:eastAsia="Arial" w:hAnsi="Arial"/>
          <w:sz w:val="18"/>
          <w:szCs w:val="18"/>
          <w:i w:val="1"/>
          <w:iCs w:val="1"/>
          <w:color w:val="auto"/>
        </w:rPr>
        <w:t xml:space="preserve"> </w:t>
      </w:r>
      <w:r>
        <w:rPr>
          <w:rFonts w:ascii="Arial" w:cs="Arial" w:eastAsia="Arial" w:hAnsi="Arial"/>
          <w:sz w:val="18"/>
          <w:szCs w:val="18"/>
          <w:color w:val="auto"/>
        </w:rPr>
        <w:t>pathologies, anatomies and surgical approaches in the complex spine and minimally invasive surgery (MIS) markets. To protect company innovative technologies and techniques, we maintain our intellectual property portfolio, with over 100 issued patents globally and over 40 patent applications pending.</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Customer Focus</w:t>
      </w:r>
      <w:r>
        <w:rPr>
          <w:rFonts w:ascii="Arial" w:cs="Arial" w:eastAsia="Arial" w:hAnsi="Arial"/>
          <w:sz w:val="17"/>
          <w:szCs w:val="17"/>
          <w:color w:val="auto"/>
        </w:rPr>
        <w:t>: Responding quickly and efficiently to the needs of patients, surgeons and hospitals is central to our corporate culture and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to our future success. Our supply chain and customer service teams make sure that the right product and instrumentation is in the right place at the right time. Through such vertically integrated processes, our focus is to meet the changing needs of our customers.</w:t>
      </w:r>
    </w:p>
    <w:p>
      <w:pPr>
        <w:spacing w:after="0" w:line="16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i w:val="1"/>
          <w:iCs w:val="1"/>
          <w:color w:val="auto"/>
        </w:rPr>
        <w:t>Multi-channel Distribution Network</w:t>
      </w:r>
      <w:r>
        <w:rPr>
          <w:rFonts w:ascii="Arial" w:cs="Arial" w:eastAsia="Arial" w:hAnsi="Arial"/>
          <w:sz w:val="18"/>
          <w:szCs w:val="18"/>
          <w:color w:val="auto"/>
        </w:rPr>
        <w:t>: Xtant is building a hybrid sales and distribution function calling on Orthopedic Surgeons, Neuro Surgeons,</w:t>
      </w:r>
      <w:r>
        <w:rPr>
          <w:rFonts w:ascii="Arial" w:cs="Arial" w:eastAsia="Arial" w:hAnsi="Arial"/>
          <w:sz w:val="18"/>
          <w:szCs w:val="18"/>
          <w:i w:val="1"/>
          <w:iCs w:val="1"/>
          <w:color w:val="auto"/>
        </w:rPr>
        <w:t xml:space="preserve"> </w:t>
      </w:r>
      <w:r>
        <w:rPr>
          <w:rFonts w:ascii="Arial" w:cs="Arial" w:eastAsia="Arial" w:hAnsi="Arial"/>
          <w:sz w:val="18"/>
          <w:szCs w:val="18"/>
          <w:color w:val="auto"/>
        </w:rPr>
        <w:t>their staff and the hospital administrators that support them. Approximately 420 field agents and distributors in the United States represent some or all of our products. Our distribution channel consists of multiple sub-channels including direct sales, consignment agents, reseller distributors, and private label distributors and technology licensees.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Recent Restructuring</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January 11, 2018, we entered into a Restructuring and Exchange Agreement (Restructuring Agreement) with the selling stockholders named in this prospectus, which constituted all of the holders of our outstanding 6% convertible unsecured notes due in 2021 (Notes). Pursuant to the terms of the Restructuring Agreement, on January 17, 2018, ROS Acquisition Offshore LP (ROS) and Royalty Opportunities II, LP (Royalty Opportunities) converted certain Notes issued to them in January 2017 in the aggregate principal amount of $1.627 million, plus accrued and unpaid interest, at the $0.7589 per share conversion price originally provided thereunder, into 2,275,745 shares of our common stock (or approximately 189,645 shares of our common stock after giving effect to the 1-for-12 reverse stock split). On February 14, 2018, following approval by our stockholders and after completion of the 1-for-12 reverse stock split, the remaining $70.238 million aggregate principal amount of the Notes held by the selling stockholders, plus accrued and unpaid interest, was exchanged for newly-issued shares of our common stock at an exchange rate of 138.8889 shares per $1,000 principal amount of Notes, for an exchange price of $7.20 per share (or $0.60 per share on a pre-split basis). Such remaining Notes were exchanged for approximately 10.4 million newly-issued shares of our common stock. Furthermore, on February 14, 2018, ROS and Royalty Opportunities purchased from us in a private placement an aggregate of $6,809,896 in shares of our common stock (945,819 shares) at a price per share of $7.20.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sectPr>
      </w:pPr>
    </w:p>
    <w:bookmarkStart w:id="8" w:name="page9"/>
    <w:bookmarkEnd w:id="8"/>
    <w:p>
      <w:pPr>
        <w:ind w:right="780" w:firstLine="64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565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t>Immediately following consummation of the restructuring, on February 14, 2018, ROS and Royalty Opportunities collectively owned approximately 70.4% of our outstanding common stock and all of the selling stockholders named in this prospectus, including ROS and Royalty Opportunities, collectively owned approximately 88.5% of our outstanding common stock.</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Pursuant to the terms of the Restructuring Agreement, we commenced a rights offering on April 27, 2018 to allow our stockholders as of the April 27, 2018 record date to purchase up to an aggregate of 1,137,515 shares of our common stock at a subscription price of $7.20 per share. The rights offering is currently scheduled to expire on June 18, 2018.</w:t>
      </w:r>
    </w:p>
    <w:p>
      <w:pPr>
        <w:spacing w:after="0" w:line="181"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The primary purposes of our entry into the Restructuring Agreement and our rights offering are to reform our capital structure, meet our liquidity needs, reposition our Company for long-term growth, and regain compliance with NYSE American LLC (formerly the NYSE MKT) listing standards. In conjunction with the consummation of the restructuring, we regained compliance with NYSE American listing standards on February 15, 2018.</w:t>
      </w:r>
    </w:p>
    <w:p>
      <w:pPr>
        <w:jc w:val="both"/>
        <w:ind w:right="300"/>
        <w:spacing w:after="0" w:line="277" w:lineRule="auto"/>
        <w:rPr>
          <w:sz w:val="20"/>
          <w:szCs w:val="20"/>
          <w:color w:val="auto"/>
        </w:rPr>
      </w:pPr>
      <w:r>
        <w:rPr>
          <w:rFonts w:ascii="Arial" w:cs="Arial" w:eastAsia="Arial" w:hAnsi="Arial"/>
          <w:sz w:val="17"/>
          <w:szCs w:val="17"/>
          <w:color w:val="auto"/>
        </w:rPr>
        <w:t>Stockholder approval was required under Sections 713(a) and 713(b) of the NYSE American Company Guide to complete the restructuring, which we obtained at a special meeting of stockholders held on February 13, 2018. At that meeting, our stockholders elected the following new directors to serve until the 2018 annual meeting of stockholders or until their respective successors have been duly elected and qualified:</w:t>
      </w:r>
    </w:p>
    <w:p>
      <w:pPr>
        <w:sectPr>
          <w:pgSz w:w="11900" w:h="16838" w:orient="portrait"/>
          <w:cols w:equalWidth="0" w:num="1">
            <w:col w:w="11180"/>
          </w:cols>
          <w:pgMar w:left="360" w:top="1138" w:right="359" w:bottom="1440" w:gutter="0" w:footer="0" w:header="0"/>
        </w:sectPr>
      </w:pP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John K. Bakewell</w:t>
      </w:r>
    </w:p>
    <w:p>
      <w:pPr>
        <w:spacing w:after="0" w:line="4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Robert McNamara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740"/>
        <w:spacing w:after="0"/>
        <w:rPr>
          <w:sz w:val="20"/>
          <w:szCs w:val="20"/>
          <w:color w:val="auto"/>
        </w:rPr>
      </w:pPr>
      <w:r>
        <w:rPr>
          <w:rFonts w:ascii="Arial" w:cs="Arial" w:eastAsia="Arial" w:hAnsi="Arial"/>
          <w:sz w:val="16"/>
          <w:szCs w:val="16"/>
          <w:color w:val="auto"/>
        </w:rPr>
        <w:t>Michael Eggenberg</w:t>
      </w:r>
    </w:p>
    <w:p>
      <w:pPr>
        <w:spacing w:after="0" w:line="46" w:lineRule="exact"/>
        <w:rPr>
          <w:sz w:val="20"/>
          <w:szCs w:val="20"/>
          <w:color w:val="auto"/>
        </w:rPr>
      </w:pPr>
    </w:p>
    <w:p>
      <w:pPr>
        <w:jc w:val="center"/>
        <w:ind w:right="1740"/>
        <w:spacing w:after="0"/>
        <w:rPr>
          <w:sz w:val="20"/>
          <w:szCs w:val="20"/>
          <w:color w:val="auto"/>
        </w:rPr>
      </w:pPr>
      <w:r>
        <w:rPr>
          <w:rFonts w:ascii="Arial" w:cs="Arial" w:eastAsia="Arial" w:hAnsi="Arial"/>
          <w:sz w:val="18"/>
          <w:szCs w:val="18"/>
          <w:color w:val="auto"/>
        </w:rPr>
        <w:t>Jeffrey Peters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7"/>
          <w:szCs w:val="17"/>
          <w:color w:val="auto"/>
        </w:rPr>
        <w:t>Michael Mainelli</w:t>
      </w:r>
    </w:p>
    <w:p>
      <w:pPr>
        <w:spacing w:after="0" w:line="3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Matthew Rizzo</w:t>
      </w:r>
    </w:p>
    <w:p>
      <w:pPr>
        <w:spacing w:after="0" w:line="200" w:lineRule="exact"/>
        <w:rPr>
          <w:sz w:val="20"/>
          <w:szCs w:val="20"/>
          <w:color w:val="auto"/>
        </w:rPr>
      </w:pPr>
    </w:p>
    <w:p>
      <w:pPr>
        <w:sectPr>
          <w:pgSz w:w="11900" w:h="16838" w:orient="portrait"/>
          <w:cols w:equalWidth="0" w:num="3">
            <w:col w:w="4180" w:space="720"/>
            <w:col w:w="3140" w:space="720"/>
            <w:col w:w="2420"/>
          </w:cols>
          <w:pgMar w:left="360" w:top="1138" w:right="359" w:bottom="1440" w:gutter="0" w:footer="0" w:header="0"/>
          <w:type w:val="continuous"/>
        </w:sectPr>
      </w:pPr>
    </w:p>
    <w:p>
      <w:pPr>
        <w:spacing w:after="0" w:line="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Since ROS and Royalty Opportunities control a majority of the combined voting power of all classes of our outstanding voting stock, we are a “controlled company” within the meaning of the NYSE American corporate governance standards. Under the NYSE American rules, a company of which more than 50% of the voting power is held by another person or group of persons acting together is a controlled company and may elect not to comply with certain NYSE American corporate governance requirements, including the requirements that:</w:t>
      </w:r>
    </w:p>
    <w:p>
      <w:pPr>
        <w:spacing w:after="0" w:line="171"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225" w:lineRule="exact"/>
        <w:rPr>
          <w:rFonts w:ascii="Arial" w:cs="Arial" w:eastAsia="Arial" w:hAnsi="Arial"/>
          <w:sz w:val="18"/>
          <w:szCs w:val="18"/>
          <w:color w:val="auto"/>
        </w:rPr>
      </w:pPr>
    </w:p>
    <w:p>
      <w:pPr>
        <w:ind w:left="980" w:right="44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has a nomination and governance committee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980" w:right="52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has a compensation committee composed entirely of independent directors with a written charter addressing the committee’s purpose and responsibilities.</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We currently rely on NYSE American’s controlled company exemptions and do not have a majority independent board of directors, an independent nomination and governance committee or an independent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We are a Delaware corporation. Our principal executive offices are located at 664 Cruiser Lane, Belgrade, Montana 59714. Our telephone number at this address is (406) 388-0480. Our corporate website is located at </w:t>
      </w:r>
      <w:r>
        <w:rPr>
          <w:rFonts w:ascii="Arial" w:cs="Arial" w:eastAsia="Arial" w:hAnsi="Arial"/>
          <w:sz w:val="18"/>
          <w:szCs w:val="18"/>
          <w:i w:val="1"/>
          <w:iCs w:val="1"/>
          <w:color w:val="auto"/>
        </w:rPr>
        <w:t>www.xtantmedical.com</w:t>
      </w:r>
      <w:r>
        <w:rPr>
          <w:rFonts w:ascii="Arial" w:cs="Arial" w:eastAsia="Arial" w:hAnsi="Arial"/>
          <w:sz w:val="18"/>
          <w:szCs w:val="18"/>
          <w:color w:val="auto"/>
        </w:rPr>
        <w:t>. The information contained on our website or connected to our website is not incorporated by reference into and should not be considered part of this prospectus.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38"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2499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499995"/>
                    </a:xfrm>
                    <a:prstGeom prst="rect">
                      <a:avLst/>
                    </a:prstGeom>
                    <a:noFill/>
                  </pic:spPr>
                </pic:pic>
              </a:graphicData>
            </a:graphic>
          </wp:anchor>
        </w:drawing>
        <w:t>THE OFFERING</w:t>
      </w:r>
    </w:p>
    <w:p>
      <w:pPr>
        <w:sectPr>
          <w:pgSz w:w="11900" w:h="16838" w:orient="portrait"/>
          <w:cols w:equalWidth="0" w:num="1">
            <w:col w:w="11420"/>
          </w:cols>
          <w:pgMar w:left="240" w:top="1134" w:right="23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to be offered by the selling stockholders: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to be outstanding after the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Up to 11,536,773 shares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13,077,468 shares (based on 13,077,468 shares outstanding as of May 14, 2018)</w:t>
      </w:r>
    </w:p>
    <w:p>
      <w:pPr>
        <w:spacing w:after="0" w:line="248"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will not receive any proceeds from the sale of shares in this offering. See “</w:t>
      </w:r>
      <w:r>
        <w:rPr>
          <w:rFonts w:ascii="Arial" w:cs="Arial" w:eastAsia="Arial" w:hAnsi="Arial"/>
          <w:sz w:val="18"/>
          <w:szCs w:val="18"/>
          <w:i w:val="1"/>
          <w:iCs w:val="1"/>
          <w:color w:val="auto"/>
        </w:rPr>
        <w:t>Use</w:t>
      </w:r>
      <w:r>
        <w:rPr>
          <w:rFonts w:ascii="Arial" w:cs="Arial" w:eastAsia="Arial" w:hAnsi="Arial"/>
          <w:sz w:val="18"/>
          <w:szCs w:val="18"/>
          <w:color w:val="auto"/>
        </w:rPr>
        <w:t xml:space="preserve"> </w:t>
      </w:r>
      <w:r>
        <w:rPr>
          <w:rFonts w:ascii="Arial" w:cs="Arial" w:eastAsia="Arial" w:hAnsi="Arial"/>
          <w:sz w:val="18"/>
          <w:szCs w:val="18"/>
          <w:i w:val="1"/>
          <w:iCs w:val="1"/>
          <w:color w:val="auto"/>
        </w:rPr>
        <w:t>of Proceeds</w:t>
      </w:r>
      <w:r>
        <w:rPr>
          <w:rFonts w:ascii="Arial" w:cs="Arial" w:eastAsia="Arial" w:hAnsi="Arial"/>
          <w:sz w:val="18"/>
          <w:szCs w:val="18"/>
          <w:color w:val="auto"/>
        </w:rPr>
        <w:t>.”</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You should read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included in this prospectus beginning on page 4 and the “</w:t>
      </w:r>
      <w:r>
        <w:rPr>
          <w:rFonts w:ascii="Arial" w:cs="Arial" w:eastAsia="Arial" w:hAnsi="Arial"/>
          <w:sz w:val="18"/>
          <w:szCs w:val="18"/>
          <w:i w:val="1"/>
          <w:iCs w:val="1"/>
          <w:color w:val="auto"/>
        </w:rPr>
        <w:t>Risk Factors</w:t>
      </w:r>
      <w:r>
        <w:rPr>
          <w:rFonts w:ascii="Arial" w:cs="Arial" w:eastAsia="Arial" w:hAnsi="Arial"/>
          <w:sz w:val="18"/>
          <w:szCs w:val="18"/>
          <w:color w:val="auto"/>
        </w:rPr>
        <w:t>” sections of the documents incorporated by reference in this prospectus for a discussion of factors to consider carefully before deciding to invest in shares of our common stock.</w:t>
      </w:r>
    </w:p>
    <w:p>
      <w:pPr>
        <w:spacing w:after="0" w:line="187" w:lineRule="exact"/>
        <w:rPr>
          <w:sz w:val="20"/>
          <w:szCs w:val="20"/>
          <w:color w:val="auto"/>
        </w:rPr>
      </w:pPr>
    </w:p>
    <w:p>
      <w:pPr>
        <w:sectPr>
          <w:pgSz w:w="11900" w:h="16838" w:orient="portrait"/>
          <w:cols w:equalWidth="0" w:num="2">
            <w:col w:w="4440" w:space="720"/>
            <w:col w:w="6260"/>
          </w:cols>
          <w:pgMar w:left="240" w:top="113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Stock exchange listing:</w:t>
            </w:r>
          </w:p>
        </w:tc>
        <w:tc>
          <w:tcPr>
            <w:tcW w:w="7940" w:type="dxa"/>
            <w:vAlign w:val="bottom"/>
          </w:tcPr>
          <w:p>
            <w:pPr>
              <w:ind w:left="1680"/>
              <w:spacing w:after="0"/>
              <w:rPr>
                <w:sz w:val="20"/>
                <w:szCs w:val="20"/>
                <w:color w:val="auto"/>
              </w:rPr>
            </w:pPr>
            <w:r>
              <w:rPr>
                <w:rFonts w:ascii="Arial" w:cs="Arial" w:eastAsia="Arial" w:hAnsi="Arial"/>
                <w:sz w:val="18"/>
                <w:szCs w:val="18"/>
                <w:color w:val="auto"/>
                <w:w w:val="99"/>
              </w:rPr>
              <w:t>Our common stock is listed on NYSE American under the symbol “XTNT.”  See</w:t>
            </w:r>
          </w:p>
        </w:tc>
      </w:tr>
      <w:tr>
        <w:trPr>
          <w:trHeight w:val="230"/>
        </w:trPr>
        <w:tc>
          <w:tcPr>
            <w:tcW w:w="3480" w:type="dxa"/>
            <w:vAlign w:val="bottom"/>
          </w:tcPr>
          <w:p>
            <w:pPr>
              <w:spacing w:after="0"/>
              <w:rPr>
                <w:sz w:val="20"/>
                <w:szCs w:val="20"/>
                <w:color w:val="auto"/>
              </w:rPr>
            </w:pPr>
          </w:p>
        </w:tc>
        <w:tc>
          <w:tcPr>
            <w:tcW w:w="7940" w:type="dxa"/>
            <w:vAlign w:val="bottom"/>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Market Price of our Common Stock</w:t>
            </w:r>
            <w:r>
              <w:rPr>
                <w:rFonts w:ascii="Arial" w:cs="Arial" w:eastAsia="Arial" w:hAnsi="Arial"/>
                <w:sz w:val="18"/>
                <w:szCs w:val="18"/>
                <w:color w:val="auto"/>
              </w:rPr>
              <w:t>” on page 10.</w:t>
            </w:r>
          </w:p>
        </w:tc>
      </w:tr>
      <w:tr>
        <w:trPr>
          <w:trHeight w:val="226"/>
        </w:trPr>
        <w:tc>
          <w:tcPr>
            <w:tcW w:w="348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spacing w:after="0"/>
              <w:rPr>
                <w:sz w:val="19"/>
                <w:szCs w:val="19"/>
                <w:color w:val="auto"/>
              </w:rPr>
            </w:pPr>
          </w:p>
        </w:tc>
      </w:tr>
      <w:tr>
        <w:trPr>
          <w:trHeight w:val="645"/>
        </w:trPr>
        <w:tc>
          <w:tcPr>
            <w:tcW w:w="34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1134"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and in the section entitled “Risk Factors” contained in our most recent and any of our subsequent annual reports on Form 10-K, quarterly reports on Form 10-Q and current reports on Form 8-K filed with the SEC, which are incorporated by reference in this prospectus in their entirety, before deciding whether to purchase any of our common stock. The risks and uncertainties incorporated by reference into this prospectus and described below are not the only ones we face. Additional risks and uncertainties not currently known to us, or that we currently view as immaterial, may also impair our business. If any of the risks or uncertainties described below, in our SEC filings or any additional risks and uncertainties actually occur, our business, financial condition, results of operations and cash flow could be materially and adversely affected. In that case, the trading price of our common stock could decline and you might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of shares in connection with this offering may cause the market price of our common stock to decline.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our recent restructuring, we entered into a Registration Rights Agreement with the selling stockholders pursuant to which we agreed to register for resale with the SEC the shares of common stock issued to the selling stockholders in exchange for their convertible senior notes and/or in our private placement. The registration statement of which this prospectus is a part has been filed to satisfy this obligation. Upon the effectiveness of the registration statement, the shares we sold in exchange for their convertible senior notes and/or in our private placement may be freely sold in the open market. The sale of a significant amount of these shares of common stock in the open market, or the perception that these sales may occur, could cause the market price of our common stock to decline or become highly volatile.</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Sales by us of a substantial number of shares of our common stock in the public market, or the perception that such sales may occur, could have an adverse impact on the market price of our common stock.</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Sales of substantial amounts of our common stock by us, announcements of the proposed sales of substantial amounts of our common stock or the perception that substantial sales may be made, could cause the market price of our common stock to decline. We likely will from time to time issue additional shares of our common stock or securities convertible into or exchangeable for our common stock in offerings to raise additional capital, or issue shares of common stock upon the exercise of warrants or options, or in connection with acquisitions or corporate alliances. We also plan to issue additional shares to our employees, directors or consultants in connection with their services to us. Due to these factors, sales of a substantial number of shares of our common stock in the public market could occur at any time and could depress the market price of our common stock.</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extremely volatile, which may affect our ability to raise capital in the future and may subject the value of your investment to sudden decreases.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market price for our common stock historically has been highly volatile. Fluctuations in the trading price or liquidity of our common stock may harm the value of your investment in our common stock. Factors that may have a significant impact on the market price and marketability of our common stock include:</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halting or suspension of trading in, or delisting of, our common stock by the NYSE American;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conditions in our core business sectors;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instituted. These lawsuits often seek unspecified damages, and as with any litigation proceeding, one cannot predict with certainty the eventual outcome of pending litigation. Furthermore, we may have to incur substantial expenses in connection with any such lawsuits and our management’s attention and resources could be diverted from operating our business as we respond to any such litigation. We maintain insurance to cover these risks for us and our directors and officers, but our insurance is subject to high deductibles to reduce premium expense, and there is no guarantee that the insurance will cover any specific claim, or that it will be adequate to cover all potential liabilities and damages.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Shares of common stock are equity securities and are subordinate to any indebtedness.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Shares of our common stock are common equity interests. This means that our common stock will rank junior to any outstanding shares of our preferred stock that we may issue in the future or to our current credit facility and any future indebtedness we may incur and to all creditor claims and other non-equity claims against us and our assets available to satisfy claims on us, including claims in a bankruptcy or similar proceeding.</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unlike indebtedness, where principal and interest customarily are payable on specified due dates, in the case of our common stock, (i) dividends are payable only when and if declared by our board of directors or a duly authorized committee of our board of directors, and (ii) as a corporation, we are restricted to making dividend payments and redemption payments out of legally available assets. We have never paid a dividend on our common stock and have no current intention to pay dividends in the future. Our Amended and Restated Credit Agreement precludes us from paying dividends. Furthermore, our common stock places no restrictions on our business or operations or on our ability to incur indebtedness or engage in any transactions, subject only to the voting rights available to stockholders generally.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order to raise additional capital for general corporate purposes, in the future we may offer additional shares of our common stock or securities convertible into or exchangeable for our common stock, which may be at prices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purchasers of shares offered hereby, investors in prior offerings or shares purchased in the open market.</w:t>
      </w:r>
    </w:p>
    <w:p>
      <w:pPr>
        <w:spacing w:after="0" w:line="15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b w:val="1"/>
          <w:bCs w:val="1"/>
          <w:i w:val="1"/>
          <w:iCs w:val="1"/>
          <w:color w:val="auto"/>
        </w:rPr>
        <w:t>Our stock ownership and organizational documents make a takeover of our Company more difficult, which may prevent certain changes in control and limit the market price of our common stock.</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Immediately following our recent restructuring, on February 14, 2018, ROS and Royalty Opportunities collectively owned approximately 70.4% of our outstanding common stock. In addition, under the terms of an Investor Rights Agreement to which we, ROS, Royalty Opportunities and certain other stockholders are a party, for so long as ROS and Royalty Opportunities continue to beneficially own at least 40% or more of our common stock, they will be permitted to nominate a majority of the members of our board of directors and designate the chairperson of the board. If ROS and Royalty Opportunities are unable to maintain this ownership threshold, the Investor Rights Agreement contemplates a reduction of nomination rights commensurate with their ownership interests. Therefore, they will continue to have control or significant influence over our management and affairs. For so long as ROS and Royalty Opportunities are significant stockholders and have board designees, they and their affiliates may exercise significant influence over our management and affairs, including influence beyond what is expressly described under the restructuring documents. ROS and Royalty Opportunities and their respective affiliates will be able to determine all matters requiring stockholder approval. This high concentration of stock ownership may directly or indirectly deter hostile takeovers, delay or prevent changes in control or changes in management.</w:t>
      </w:r>
    </w:p>
    <w:p>
      <w:pPr>
        <w:spacing w:after="0" w:line="17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Second Amended and Restated Bylaws contain provisions that may have the effect of deterring or delaying attempts by our stockholders to remove or replace management, engage in proxy contests and effect changes in control. These provisions include:</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board of directors to create and issue preferred stock without stockholder action;</w:t>
      </w:r>
    </w:p>
    <w:p>
      <w:pPr>
        <w:spacing w:after="0" w:line="225" w:lineRule="exact"/>
        <w:rPr>
          <w:rFonts w:ascii="Arial" w:cs="Arial" w:eastAsia="Arial" w:hAnsi="Arial"/>
          <w:sz w:val="18"/>
          <w:szCs w:val="18"/>
          <w:color w:val="auto"/>
        </w:rPr>
      </w:pPr>
    </w:p>
    <w:p>
      <w:pPr>
        <w:ind w:left="980" w:right="36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authority for our board of directors to issue without stockholder approval up to the number of shares of common stock authorized in our Amended and Restated Certificate of Incorporation, that, if issued, would dilute the ownership of our stockholders;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advance notice requirement for director nominations or for proposals that can be acted upon at stockholder meetings;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prohibition on stockholders accumulating their votes for the election of directors.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The existence of these provisions could limit the price that investors might be willing to pay in the future for shares of our common stock. Some provisions in our Amended and Restated Certificate of Incorporation and Second Amended and Restated Bylaws may deter third parties from acquiring us, which may limit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our common stock.</w:t>
      </w:r>
    </w:p>
    <w:p>
      <w:pPr>
        <w:spacing w:after="0" w:line="170" w:lineRule="exact"/>
        <w:rPr>
          <w:sz w:val="20"/>
          <w:szCs w:val="20"/>
          <w:color w:val="auto"/>
        </w:rPr>
      </w:pPr>
    </w:p>
    <w:p>
      <w:pPr>
        <w:jc w:val="both"/>
        <w:ind w:right="320" w:firstLine="648"/>
        <w:spacing w:after="0" w:line="302" w:lineRule="auto"/>
        <w:rPr>
          <w:sz w:val="20"/>
          <w:szCs w:val="20"/>
          <w:color w:val="auto"/>
        </w:rPr>
      </w:pPr>
      <w:r>
        <w:rPr>
          <w:rFonts w:ascii="Arial" w:cs="Arial" w:eastAsia="Arial" w:hAnsi="Arial"/>
          <w:sz w:val="16"/>
          <w:szCs w:val="16"/>
          <w:color w:val="auto"/>
        </w:rPr>
        <w:t>We have never paid dividends on our common stock and do not anticipate paying dividends on our common stock in the foreseeable future. The payment of dividends on our common stock will depend on our earnings, financial condition and other business and economic factors affecting us at such time as our board of directors may consider relevant. Our Amended and Restated Credit Agreement precludes us from paying dividends. If we do not pay dividends, our common stock may be less valuable because a return on your investment will only occur if our stock price appreciates.</w:t>
      </w:r>
    </w:p>
    <w:p>
      <w:pPr>
        <w:spacing w:after="0" w:line="15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If securities analysts stop publishing research or reports about us or our business, or if they downgrade our common stock, the trading volume and market price of our common stock could decline.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for our common stock relies in part on the research and reports that industry or financial analysts publish about us or our business. We do not control these analysts. If any analyst who covers us downgrades our stock or lowers its future stock price targets or estimates of our operating results, our stock price could decline rapidly. Furthermore, if any analyst ceases to cover our Company, we could lose visibility in the market. Each of these events could, in turn, cause our trading volume and the market price of our common stock to decline.</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b w:val="1"/>
          <w:bCs w:val="1"/>
          <w:i w:val="1"/>
          <w:iCs w:val="1"/>
          <w:color w:val="auto"/>
        </w:rPr>
        <w:t>We could issue “blank check” preferred stock without stockholder approval with the effect of diluting interests of then-current stockholders and impairing their voting rights, and provisions in our charter documents and under Delaware law could discourage a takeover that stockholders may consider favorable.</w:t>
      </w:r>
    </w:p>
    <w:p>
      <w:pPr>
        <w:spacing w:after="0" w:line="18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Amended and Restated Certificate of Incorporation provides for the authorization to issue up to 10,000,000 shares of “blank check”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change control of our company. In addition, advanced notice is required prior to stockholder proposals, which might further delay a change of control.</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Our inability to comply with the continued listing requirements of the NYSE American could result in our common stock being delisted, which could affect its market price and liquidity and reduce our ability to raise capital.</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are required to meet certain qualitative and financial tests to maintain the listing of our common stock on the NYSE American. If we do not maintain compliance with the continued listing requirements for the NYSE American within specified periods and subject to permitted extensions, our common stock may be recommended for delisting (subject to any appeal we would file). On February 15, 2018, we regained compliance with these continued listing requirements as a result of our restructuring. No assurance can be provided that we will continue to comply with these continued listing requirements. If our common stock were delisted, it could be more difficult to buy or sell our common stock and to obtain accurate quotations, and the price of our stock could suffer a material decline. Delisting would also impair our ability to raise capital.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Risks Related to our Recent Restructuring</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ROS and Royalty Opportunities have significant influence over our Company which could make it impossible for the public stockholders to influence the affairs of our Company.</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Immediately following our recent restructuring, on February 14, 2018, ROS and Royalty Opportunities collectively owned approximately 70.4% of our outstanding common stock. Our existing non-Noteholder stockholders were significantly diluted, from an ownership standpoint, as a result of the restructuring. In addition, under the terms of an Investor Rights Agreement to which we, ROS, Royalty Opportunities and certain other stockholders are a party, for so long as ROS and Royalty Opportunities continue to beneficially own at least 40% or more of our common stock, they will be permitted to nominate a majority of the members of our board of directors and designate the chairperson of the board. If ROS and Royalty Opportunities are unable to maintain this ownership threshold, the Investor Rights Agreement contemplates a reduction of nomination rights commensurate with their ownership interests. Therefore, they will continue to have control or significant influence over our management and affairs. For so long as ROS and Royalty Opportunities are significant stockholders and have board designees, they and their affiliates may exercise significant influence over our management and affairs, including influence beyond what is expressly described under the restructuring documents. ROS and Royalty Opportunities and their respective affiliates will be able to determine all matters requiring stockholder approval, regardless of whether or not other stockholders believe that a potential transaction is in their own best interests. In any of these matters, the interests of ROS and Royalty Opportunities and their respective affiliates may differ or conflict with your interests.</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high concentration of stock ownership may also directly or indirectly deter hostile takeovers, delay or prevent changes in control or changes in management, or limit the ability of our other stockholders to approve transactions that they may deem to be in our best interests. Additionally, the trading price of our common stock may be adversely effected to the extent investors perceive a disadvantage in owning stock of a company with a significant controlling stockholder.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 a result of our recent restructuring, we are a “controlled company.”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our recent restructuring, we are a “controlled company” within the meaning of the corporate governance standards of the NYSE American. Under the rules of the NYSE American, a company of which more than 50% of the outstanding voting power is held by an individual, group or another company is a “controlled company” and may elect not to comply with certain stock exchange corporate governance requirements, including the requirement that a majority of the board of directors consists of independent directors and the requirement that a listed company have a nominating and governance committee and a compensation committee that is composed entirely of independent directors. As a controlled company, we are relying on NYSE American’s controlled company exemptions and do not have a majority independent board of directors, an independent nomination and governance committee or an independent compensation committee.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reverse stock split may not have the intended benefits.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Following approval by our stockholders and effective as of 5:00 p.m. Eastern Time on February 13, 2018, we implemented a reverse split of our common stock with a ratio of 1-to-12. We cannot predict whether the reverse stock split will increase the market price for our common stock on a sustained basis. The history of similar stock splits for companies in like circumstances is varied, and we cannot predict whether:</w:t>
      </w:r>
    </w:p>
    <w:p>
      <w:pPr>
        <w:spacing w:after="0" w:line="16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reverse stock split will result in a sustained price per share that will attract brokers and investors who do not trade in lower priced stocks;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reverse stock split will result in a price per share that will increase our ability to attract and retain employees and other service providers;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market price per share will remain at a level in excess of the minimum bid price as required for continued listing on NYSE American; or</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15" w:name="page16"/>
    <w:bookmarkEnd w:id="15"/>
    <w:p>
      <w:pPr>
        <w:ind w:left="980" w:right="6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even if the reverse stock split does increase the market price of our common stock on a sustained basis, we will otherwise meet the requirements of NYSE American and be able to maintain our listing.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realize the intended benefits of our recent restructuring.</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that entering into the Restructuring Agreement and our recent restructuring was a significant step toward resolving our historical lack of cash, substantial doubt about our ability to continue as a going concern and enhancing our ability to finance operations and expansion. However, there can be no guarantee that we will realize the intended benefits of the restructuring immediately, if at all. The restructuring involved a significant transition at the management and board of director levels. This transition could take longer, and require greater resources and management and the board of directors attention, than anticipated. It is possible that this transition process or other factors could result in the loss or departure of key employees, the disruption of our ongoing business, or inconsistencies in standards, controls, procedures and policies. Even if we successfully implement this transition, there is no assurance that our revenues, operating results and profitability will improve as a result of the restructuring.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as a result of our recent restructuring.</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of December 31, 2017, we had net operating loss (NOL) carryforwards of approximately $164.8 million for U.S. federal and state income tax purposes. Under the Internal Revenue Code, an “ownership change” with respect to a corporation can significantly limit the amount of pre-ownership change NOLs and certain other tax assets that the corporation may utilize after the ownership change to offset future taxable income, possibly reducing the amount of cash available to the corporation to satisfy its obligations. An ownership change generally occurs when the aggregate stock ownership of holders of at least 5% of our stock increases by more than 50 percentage points over the preceding three-year period. The issuance of our common stock to the selling stockholders named in this prospectus pursuant to the restructuring caused an ownership change with respect to our stock. Further, the purchase of common stock pursuant to the rights offering may trigger an ownership change with respect to our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tax legislation could significantly impact us or our stockholders.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Public Law no. 115-97, an Act to provide for reconciliation pursuant to titles II and V of the concurrent resolution on the budget for fiscal year 2018, also known as the Tax Cuts and Jobs Act (Tax Act) signed into law by President Trump on December 22, 2017, substantially changes U.S. federal income tax law, which could significantly impact us, our operations and our stockholders. The changes made by the Tax Act include a reduction to the federal corporate income tax rate from 35% to 21%, changes in the deductibility of interest on certain debt obligations, limitations on the usability of NOL carry forwards, and a one-time tax on a deemed repatriation of foreign earnings. We are currently evaluating the Tax Act with our professional advisers. The full impact of the Tax Act on us in future periods cannot be predicted at this time, and no assurances in that regard are made by us. This prospectus does not discuss the Tax Act or the manner in which it might affect us. Prospective acquirers of our common stock should consult their tax advisors about the potential impact of the Act on an investment in our common stock.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filing the registration statement of which this prospectus is a part to permit holders of our common stock described in the section entitled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Selling Stockholders</w:t>
      </w:r>
      <w:r>
        <w:rPr>
          <w:rFonts w:ascii="Arial" w:cs="Arial" w:eastAsia="Arial" w:hAnsi="Arial"/>
          <w:sz w:val="16"/>
          <w:szCs w:val="16"/>
          <w:color w:val="auto"/>
        </w:rPr>
        <w:t>” to resell such shares. We are not selling any securities under this prospectus and will not receive any proceeds from the sale of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the selling stockholders.</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will bear all expenses incurred in connection with the performance of our obligations under the Registration Rights Agreement and will reimburse the selling stockholders for the reasonable fees and disbursements of one firm or counsel to act as counsel for the selling stockholders in connection with this offering.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MARKET PRICE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Our common stock is listed on the NYSE American under the ticker symbol “XTNT.” The following table sets forth the range of high and low sale prices per share of our common stock for each quarter, as reported by NYSE American, for the periods indicated below. Prices have been adjusted to reflect our February 13, 2018 1-for-12 reverse stock split.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First Quarter 2016 (January 1, 2016 – March 31, 2016)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45.00</w:t>
            </w:r>
          </w:p>
        </w:tc>
        <w:tc>
          <w:tcPr>
            <w:tcW w:w="18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2016 (April 1, 2016 – June 30, 2016)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Third Quarter 2016 (July 1, 2016 – September 30, 2016)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24.60</w:t>
            </w:r>
          </w:p>
        </w:tc>
        <w:tc>
          <w:tcPr>
            <w:tcW w:w="18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2016 (October 1, 2016 – December 31, 2016)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First Quarter 2017 (January 1, 2017 – March 31, 2017)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14.16</w:t>
            </w:r>
          </w:p>
        </w:tc>
        <w:tc>
          <w:tcPr>
            <w:tcW w:w="18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2017 (April 1, 2017 – June 30, 2017)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Third Quarter 2017 (July 1, 2017 – September 30, 2017)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2017 (October 1, 2017 – December 31, 2017)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2018</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First Quarter 2018 (January 1, 2018 – March 31, 2018)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11.50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2018 (April 1, 2018 – May 14, 2018)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8.89</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14, 2018, the closing price for our common stock was $6.45 per share. As of May 14, 2018, we had 175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common stock may be held in trust or by other entities.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We have not paid any cash dividends and do not expect to do so in the foreseeable future. We anticipate that we will retain all of our future earnings, if any, for use in the expansion and operation of our business. In addition, our Amended and Restated Credit Agreement precludes us from paying dividends.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offering is for sales of common stock, if any, by the selling stockholders on a continuous or delayed basis in the future. Sales of common stock by selling stockholders will not result in a change to the net tangible book value per share before and after the distribution of shares by such selling stockholders.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There will be no change in net tangible book value per share attributable to cash payments made by purchasers of the shares of common stock being offered. Prospective investors should be aware, however, that the price of shares of common stock may not bear any rational relationship to net tangible book value per share of the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description summarizes the material terms and provisions of our common stock and preferred stock. For the complete terms of our common stock and preferred stock, please refer to our Amended and Restated Certificate of Incorporation and Second Amended and Restated Bylaws that are filed as exhibits to the registration statement that includes this prospectus. The Delaware General Corporation Law may also affect the terms of our common stock and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Amended and Restated Certificate of Incorporation provides that we have authority to issue (i) 50,000,000 shares of common stock, par value $0.000001 per share, 13,077,468 of which are issued and outstanding as of May 14, 2018, after giving effect to the restructuring and the 1-for-12 reverse stock split, and (ii) 10,000,000 shares of preferred stock, par value $0.000001 per share, none of which are issued and outstanding as of the date of this prospectus. As of May 14, 2018, after giving effect to the restructuring and the 1-for-12 reverse stock split, we had outstanding warrants to purchase approximately 519,917 shares of our common stock and outstanding awards to purchase approximately 135,000 shares of our common stock and approximately 18,000 shares remained available for issuance under the Xtant Medical Holdings, Inc. Amended and Restated Equity Incentive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Market for our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NYSE American under the symbol “XTNT.”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board of directors may authorize, and we may make, distributions to our stockholders, subject to any restriction in our Amended and Restated Certificate of Incorporation and to those limitations prescribed by law and contractual restrictions. Subject to preferences that may apply to any shares of preferred stock outstanding at the time, the holders of our common stock will be entitled to share equally, identically and ratably in any dividends that our board of directors may determine to issue from time to time. However, we have never paid cash dividends on our common stock or any other securities. We anticipate that we will retain all of our future earnings, if any, for use in the expansion and operation of our business and do not anticipate paying any cash dividends in the foreseeable future. In addition, our Amended and Restated Credit Agreement precludes us from paying dividends.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shares of our outstanding common stock are fully paid and non-assessable.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Each share of our common stock is entitled to one vote in each matter submitted to a vote at a meeting of stockholders, including in all elections for directors. Stockholders are not entitled to cumulative voting in the election for directors. Our stockholders may vote either in person or by proxy. Except in respect of matters relating to the election of directors and as otherwise provided in our Amended and Restated Certificate of Incorporation or required by law, all matters to be voted on by our stockholders must be approved by holders of a majority of the shares present in person or by proxy at the meeting and entitled to vote on the subject matter. In the case of election of directors, all matters to be voted on by our stockholders must be approved by a plurality of the votes entitled to be cast by holders of all outstanding shares of common stock.</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Preemptive and Other Rights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Holders of our common stock have no preemptive rights and have no other rights to subscribe for additional securities of ours under Delaware law, nor does our common stock have any conversion rights or rights of redemption. Upon liquidation, all holders of our common stock are entitled to participate pro rata in our assets available for distribution, subject to the rights of any class of preferred stock then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Though we currently have no plans to issue any shares of preferred stock, our board of directors has the authority, without further action by our stockholders, to designate and issue up to 10,000,000 shares of preferred stock in one or more series. Our board of directors may also designate the rights, preferences and privileges of the holders of each such series of preferred stock, any or all of which may be greater than or senior to those granted to the holders of our common stock. Though the actual effect of any such issuance on the rights of the holders of our common stock will not be known until our board of directors determines the specific rights of the holders of preferred stock, the potential effects of such an issuance include:</w:t>
      </w:r>
    </w:p>
    <w:p>
      <w:pPr>
        <w:spacing w:after="0" w:line="15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reducing the likelihood that holders of common stock will receive payments in the event of our liquidation, dissolution or winding up;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delaying, deterring or preventing a change in control or other corporate takeover.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Second Amended and Restated Bylaws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shares of common stock outstanding will be able to elect all of our directors. Our Second Amended and Restated Bylaws provide that only our board of directors, Chairman of the board or Chief Executive Officer may call a special meeting of stockholders.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combination of these factors, in addition to the fact that we are a “controlled company” within the meaning of the corporate governance standards of the NYSE American,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these provisions may have the effect of deterring hostile takeovers or delaying changes in our control or management.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stock and, as a consequence, they also may inhibit fluctuations in the market price of our stock that could result from actual or rumored takeover attempts.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adopted provisions in our Amended and Restated Certificate of Incorporation that limit or eliminate the liability of our directors for monetary damages for breach of their fiduciary duties, except for a breach of the duty of loyalty to our Company or its stockholders, for acts or omissions not in good faith or involving intentional misconduct or a knowing violation of law, or for any transaction from which a director derived an improper personal benefit. Accordingly, our directors will not be personally liable for monetary damages for breach of their fiduciary duties as directors, except with respect to the following: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breach of their duty of loyalty to us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This limitation of liability does not apply to liabilities arising under the federal securities laws and does not affect the availability of equitable remedies such as injunctive relief or rescission. If Delaware law is amended to authorize the further elimination or limiting of director liability, then the liability of our directors will be eliminated or limited to the fullest extent permitted by Delaware law as so amended.</w:t>
      </w:r>
    </w:p>
    <w:p>
      <w:pPr>
        <w:spacing w:after="0" w:line="166"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Second Amended and Restated Bylaws provide for mandatory indemnification of directors and officers to the maximum extent allowed by applicable law. We believe that indemnification under our Second Amended and Restated Bylaws covers at least negligence and gross negligence on the part of indemnified parties. In addition, we have also entered into indemnification agreements with our directors and officers, pursuant to which we must:</w:t>
      </w:r>
    </w:p>
    <w:p>
      <w:pPr>
        <w:spacing w:after="0" w:line="14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indemnify officers and directors against certain liabilities that may arise because of their status as officers and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expenses, as incurred, to officers and directors in connection with a legal proceeding subject to limited exceptions;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officers and directors under any general or directors’ and officers’ liability insurance policy maintained by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maintain directors’ and officers’ liability insurance.</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believe that these provisions and agreements are necessary to attract and retain qualified persons as directors and executive officers. Insofar as indemnification for liabilities arising under the Securities Act may be permitted to directors, officers or persons controlling us pursuant to the foregoing provisions, the opinion of the SEC is that such indemnification is against public policy as expressed in the Securities Act and is therefore unenforceable.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for our common stock is Corporate Stock Transfer, Inc.</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shares of common stock offered under this prospectus may be offered from time to time by the selling stockholders named below or by any of their pledgees, donees, transferees or other successors-in-interest. As used in this prospectus, the term “selling stockholder” includes those selling stockholders identified below and any donees, pledges, transferees or other successors-in-interest selling shares received after the date of this prospectus from a selling stockholder as a gift, pledge or other non-sale related transfer. All of the selling stockholders named below acquired the shares of common stock being offered under this prospectus directly from us. We issued the shares to the selling stockholders pursuant to an exemption from the registration requirements of the Securities Act provided by Section 4(a)(2) thereof and Regulation D promulgated thereunder.</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following table sets forth as of May 14, 2018: (1) the name of each selling stockholder for whom we are registering shares of common stock under the registration statement of which this prospectus is a part, (2) the number of shares of common stock beneficially owned by each of the selling stockholders prior to the offering, determined in accordance with Rule 13d-3 under the Securities Exchange Act of 1934, as amended (Exchange Act), (3) the number of shares of common stock that may be offered by each selling stockholder under this prospectus and (4) the number of shares of common stock to be owned by each selling stockholder after completion of this offering. We will not receive any of the proceeds from the sale of the shares of common stock offered under this prospectus. The amounts and information set forth below are based upon information provided to us by the selling stockholders or his, her or its representative, or on our records, as of May 14, 2018. The percentage of beneficial ownership for the following table is based on 13,077,468 shares of common stock outstanding as of May 14, 2018.</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To our knowledge, except as indicated in the footnotes to this table, each person named in the table has sole voting and investment power with respect to all shares of common stock shown in the table to be beneficially owned by such person. Except as described below, none of the selling stockholders has had any position, office or other material relationship with us or any of our predecessors or affiliates within the past three years. In addition, based on information provided to us, none of the selling stockholders that are affiliates of broker-dealers, if any, purchased the shares of common stock outside the ordinary course of business or, at the time of their acquisition of such shares, had any agreements, understandings or arrangements with any other persons, directly or indirectly, to dispose of the shares. Information concerning the selling stockholders may change from time to time, and any changed information will be set forth in supplements to this prospectus to the extent required.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Number of</w:t>
            </w:r>
          </w:p>
        </w:tc>
        <w:tc>
          <w:tcPr>
            <w:tcW w:w="24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Shares Beneficially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Shares Beneficially Owned</w:t>
            </w: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Shares</w:t>
            </w:r>
          </w:p>
        </w:tc>
        <w:tc>
          <w:tcPr>
            <w:tcW w:w="24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Owned After Completion</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3"/>
              </w:rPr>
              <w:t>Prior to the Offering</w:t>
            </w: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Being</w:t>
            </w:r>
          </w:p>
        </w:tc>
        <w:tc>
          <w:tcPr>
            <w:tcW w:w="24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of the Offering</w:t>
            </w:r>
          </w:p>
        </w:tc>
        <w:tc>
          <w:tcPr>
            <w:tcW w:w="0" w:type="dxa"/>
            <w:vAlign w:val="bottom"/>
          </w:tcPr>
          <w:p>
            <w:pPr>
              <w:spacing w:after="0"/>
              <w:rPr>
                <w:sz w:val="1"/>
                <w:szCs w:val="1"/>
                <w:color w:val="auto"/>
              </w:rPr>
            </w:pPr>
          </w:p>
        </w:tc>
      </w:tr>
      <w:tr>
        <w:trPr>
          <w:trHeight w:val="223"/>
        </w:trPr>
        <w:tc>
          <w:tcPr>
            <w:tcW w:w="4700" w:type="dxa"/>
            <w:vAlign w:val="bottom"/>
            <w:gridSpan w:val="5"/>
          </w:tcPr>
          <w:p>
            <w:pPr>
              <w:spacing w:after="0"/>
              <w:rPr>
                <w:sz w:val="20"/>
                <w:szCs w:val="20"/>
                <w:color w:val="auto"/>
              </w:rPr>
            </w:pPr>
            <w:r>
              <w:rPr>
                <w:rFonts w:ascii="Arial" w:cs="Arial" w:eastAsia="Arial" w:hAnsi="Arial"/>
                <w:sz w:val="18"/>
                <w:szCs w:val="18"/>
                <w:b w:val="1"/>
                <w:bCs w:val="1"/>
                <w:color w:val="auto"/>
              </w:rPr>
              <w:t>Name of Selling Stockholder</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11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98"/>
              </w:rPr>
              <w:t>Percentage</w:t>
            </w:r>
          </w:p>
        </w:tc>
        <w:tc>
          <w:tcPr>
            <w:tcW w:w="380" w:type="dxa"/>
            <w:vAlign w:val="bottom"/>
            <w:gridSpan w:val="2"/>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Offered</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Percentage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gridSpan w:val="2"/>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ROS Acquisition Offshore LP</w:t>
            </w:r>
            <w:r>
              <w:rPr>
                <w:rFonts w:ascii="Arial" w:cs="Arial" w:eastAsia="Arial" w:hAnsi="Arial"/>
                <w:sz w:val="28"/>
                <w:szCs w:val="28"/>
                <w:color w:val="auto"/>
                <w:vertAlign w:val="superscript"/>
              </w:rPr>
              <w:t>(1)</w:t>
            </w:r>
          </w:p>
        </w:tc>
        <w:tc>
          <w:tcPr>
            <w:tcW w:w="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5,898,193</w:t>
            </w: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5,851,266</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46,927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5"/>
          </w:tcPr>
          <w:p>
            <w:pPr>
              <w:spacing w:after="0" w:line="256" w:lineRule="exact"/>
              <w:rPr>
                <w:sz w:val="20"/>
                <w:szCs w:val="20"/>
                <w:color w:val="auto"/>
              </w:rPr>
            </w:pPr>
            <w:r>
              <w:rPr>
                <w:rFonts w:ascii="Arial" w:cs="Arial" w:eastAsia="Arial" w:hAnsi="Arial"/>
                <w:sz w:val="18"/>
                <w:szCs w:val="18"/>
                <w:color w:val="auto"/>
              </w:rPr>
              <w:t>OrbiMed Royalty Opportunities II, LP</w:t>
            </w:r>
            <w:r>
              <w:rPr>
                <w:rFonts w:ascii="Arial" w:cs="Arial" w:eastAsia="Arial" w:hAnsi="Arial"/>
                <w:sz w:val="29"/>
                <w:szCs w:val="29"/>
                <w:color w:val="auto"/>
                <w:vertAlign w:val="superscript"/>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3,316,128</w:t>
            </w:r>
          </w:p>
        </w:tc>
        <w:tc>
          <w:tcPr>
            <w:tcW w:w="22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3,316,128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Park West Investors Master Fund, Limited</w:t>
            </w:r>
            <w:r>
              <w:rPr>
                <w:rFonts w:ascii="Arial" w:cs="Arial" w:eastAsia="Arial" w:hAnsi="Arial"/>
                <w:sz w:val="29"/>
                <w:szCs w:val="29"/>
                <w:color w:val="auto"/>
                <w:vertAlign w:val="superscript"/>
              </w:rPr>
              <w:t>(3)†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1,104,905</w:t>
            </w: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1,104,905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5"/>
          </w:tcPr>
          <w:p>
            <w:pPr>
              <w:spacing w:after="0" w:line="256" w:lineRule="exact"/>
              <w:rPr>
                <w:sz w:val="20"/>
                <w:szCs w:val="20"/>
                <w:color w:val="auto"/>
              </w:rPr>
            </w:pPr>
            <w:r>
              <w:rPr>
                <w:rFonts w:ascii="Arial" w:cs="Arial" w:eastAsia="Arial" w:hAnsi="Arial"/>
                <w:sz w:val="18"/>
                <w:szCs w:val="18"/>
                <w:color w:val="auto"/>
              </w:rPr>
              <w:t>Telemetry Securities, L.L.C.</w:t>
            </w:r>
            <w:r>
              <w:rPr>
                <w:rFonts w:ascii="Arial" w:cs="Arial" w:eastAsia="Arial" w:hAnsi="Arial"/>
                <w:sz w:val="29"/>
                <w:szCs w:val="29"/>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18"/>
                <w:szCs w:val="18"/>
                <w:color w:val="auto"/>
              </w:rPr>
              <w:t>814,474</w:t>
            </w:r>
          </w:p>
        </w:tc>
        <w:tc>
          <w:tcPr>
            <w:tcW w:w="22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814,474</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Bruce Fund, Inc.</w:t>
            </w:r>
            <w:r>
              <w:rPr>
                <w:rFonts w:ascii="Arial" w:cs="Arial" w:eastAsia="Arial" w:hAnsi="Arial"/>
                <w:sz w:val="29"/>
                <w:szCs w:val="29"/>
                <w:color w:val="auto"/>
                <w:vertAlign w:val="superscript"/>
              </w:rPr>
              <w:t>(5)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296,172</w:t>
            </w: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296,172</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gridSpan w:val="5"/>
          </w:tcPr>
          <w:p>
            <w:pPr>
              <w:spacing w:after="0" w:line="269" w:lineRule="exact"/>
              <w:rPr>
                <w:sz w:val="20"/>
                <w:szCs w:val="20"/>
                <w:color w:val="auto"/>
              </w:rPr>
            </w:pPr>
            <w:r>
              <w:rPr>
                <w:rFonts w:ascii="Arial" w:cs="Arial" w:eastAsia="Arial" w:hAnsi="Arial"/>
                <w:sz w:val="18"/>
                <w:szCs w:val="18"/>
                <w:color w:val="auto"/>
              </w:rPr>
              <w:t>Park West Partners International, Limited</w:t>
            </w:r>
            <w:r>
              <w:rPr>
                <w:rFonts w:ascii="Arial" w:cs="Arial" w:eastAsia="Arial" w:hAnsi="Arial"/>
                <w:sz w:val="30"/>
                <w:szCs w:val="30"/>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8"/>
                <w:szCs w:val="18"/>
                <w:color w:val="auto"/>
              </w:rPr>
              <w:t>153,828</w:t>
            </w:r>
          </w:p>
        </w:tc>
        <w:tc>
          <w:tcPr>
            <w:tcW w:w="220" w:type="dxa"/>
            <w:vAlign w:val="bottom"/>
          </w:tcPr>
          <w:p>
            <w:pPr>
              <w:spacing w:after="0"/>
              <w:rPr>
                <w:sz w:val="23"/>
                <w:szCs w:val="23"/>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153,828</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600" w:type="dxa"/>
            <w:vAlign w:val="bottom"/>
            <w:tcBorders>
              <w:top w:val="single" w:sz="8" w:color="CCEEFF"/>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11,583,700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11,536,773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 w:type="dxa"/>
            <w:vAlign w:val="bottom"/>
            <w:gridSpan w:val="2"/>
          </w:tcPr>
          <w:p>
            <w:pPr>
              <w:spacing w:after="0"/>
              <w:rPr>
                <w:sz w:val="17"/>
                <w:szCs w:val="17"/>
                <w:color w:val="auto"/>
              </w:rPr>
            </w:pPr>
          </w:p>
        </w:tc>
        <w:tc>
          <w:tcPr>
            <w:tcW w:w="46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6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Less than one percent (1%)</w:t>
            </w:r>
          </w:p>
        </w:tc>
        <w:tc>
          <w:tcPr>
            <w:tcW w:w="1960" w:type="dxa"/>
            <w:vAlign w:val="bottom"/>
            <w:gridSpan w:val="3"/>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right="500" w:hanging="492"/>
        <w:spacing w:after="0" w:line="31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selling stockholders identified with a crosshatch have identified that they are, or are affiliates of, registered broker-dealers. These selling stockholders have represented that they acquired their securities in the ordinary course of business and in the open market, and, at the time of the acquisition of the securities, had no agreements or understandings, directly or indirectly, with any person to distribute the securities.</w:t>
      </w:r>
    </w:p>
    <w:p>
      <w:pPr>
        <w:spacing w:after="0" w:line="147" w:lineRule="exact"/>
        <w:rPr>
          <w:sz w:val="20"/>
          <w:szCs w:val="20"/>
          <w:color w:val="auto"/>
        </w:rPr>
      </w:pPr>
    </w:p>
    <w:p>
      <w:pPr>
        <w:ind w:left="500" w:right="100" w:hanging="492"/>
        <w:spacing w:after="0" w:line="290"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solely on information contained in a Form 4 filed with the SEC on February 23, 2018. Includes 5,890,884 shares of common stock and 7,309 shares of common stock issuable upon exercise of a warrant held of record by ROS. OrbiMed Advisors LLC (OrbiMed Advisors), a registered adviser under the Investment Advisors Act of 1940, as amended, is the investment manager of ROS. OrbiMed Advisors is also the investment manager of Royalty Opportunities S.àr.l., of which ROS is a wholly-owned subsidiary. By virtue of such relationships, OrbiMed Advisors may be deemed to have voting and investment power with respect to the securities held by ROS noted above and as a result may be deemed to have beneficial ownership over such securities. OrbiMed Advisors exercised this investment and voting power through a management committee comprised of Carl L. Gordon, Sven H. Borho and Jonathan T. Silverstein, each of whom disclaims beneficial ownership of the securities held by ROS. The principal business address for each of ROS and OrbiMed Advisors is 601 Lexington Avenue, 54th Floor, New York, New York 10022.</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500" w:hanging="492"/>
        <w:spacing w:after="0" w:line="293"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securities are held of record by Royalty Opportunities. OrbiMed ROF II LLC (ROF II) is the sole general partner of Royalty Opportunities, and OrbiMed Advisors is the sole managing member of ROF II. By virtue of such relationships, OrbiMed Advisors may be deemed to have voting and investment power with respect to the securities held by Royalty Opportunities noted above and as a result may be deemed to have beneficial ownership over such securities. OrbiMed Advisors exercised this investment and voting power through a management committee comprised of Carl L. Gordon, Sven H. Borho and Jonathan T. Silverstein, each of whom disclaims beneficial ownership of the securities held by Royalty Opportunities. The principal business address for each of Royalty Opportunities, ROF II and OrbiMed Advisors is 601 Lexington Avenue, 54th Floor, New York, New York 10022.</w:t>
      </w:r>
    </w:p>
    <w:p>
      <w:pPr>
        <w:spacing w:after="0" w:line="164" w:lineRule="exact"/>
        <w:rPr>
          <w:rFonts w:ascii="Arial" w:cs="Arial" w:eastAsia="Arial" w:hAnsi="Arial"/>
          <w:sz w:val="16"/>
          <w:szCs w:val="16"/>
          <w:color w:val="auto"/>
        </w:rPr>
      </w:pPr>
    </w:p>
    <w:p>
      <w:pPr>
        <w:ind w:left="500" w:right="20" w:hanging="492"/>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Park West Investors Master Fund, Limited (PWIMF) and Park West Partners International, Limited (PWPI) are directly or indirectly controlled by Park West Asset Management LLC. Peter S. Park, manager of Park West Asset Management LLC, has sole voting and investment power over the shares owned by PWIMF and PWPI. The principal business address for each of PWIMF and PWPI is 900 Larkspur Landing Circle, Suite 165, Larkspur, California 94939.</w:t>
      </w:r>
    </w:p>
    <w:p>
      <w:pPr>
        <w:spacing w:after="0" w:line="186"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Telemetry Securities, L.L.C. (Telemetry) is a subsidiary of Telemetry Investments, L.L.C. (Telemetry Investments), an investment company registered under the Investment Company Act of 1940, as amended. As such, Telemetry Investments may share voting or dispositive power over the securities held by Telemetry.</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 Jeffrey Bruce has sole voting and investment control over the shares of common stock held by Bruce Fund,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Between Selling Stockholders and Xtant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Agreement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January 11, 2018, we entered into the Restructuring Agreement with the selling stockholders named in this prospectus, which at that time constituted all of the holders of our outstanding Notes. Pursuant to the terms of the Restructuring Agreement, on January 17, 2018, ROS and Royalty Opportunities converted certain Notes issued to them in January 2017 in the aggregate principal amount of $1.627 million, plus accrued and unpaid interest, at the $0.7589 per share conversion rate originally provided thereunder, into 2,275,745 shares of our common stock (or approximately 189,645 shares of our common stock after giving effect to the 1-for-12 reverse stock split). On February 14, 2018, following approval by our stockholders and after completion of the 1-for-12 reverse stock split, the remaining $70.238 million aggregate principal amount of the Notes held by the selling stockholders, plus accrued and unpaid interest, was exchanged for newly-issued shares of our common stock at an exchange rate of 138.8889 shares per $1,000 principal amount of Notes, for an exchange price of $7.20 per share. Such remaining Notes were exchanged for approximately 10.4 million newly-issued shares of our common stock. Furthermore, as described below, on February 14, 2018, ROS and Royalty Opportunities purchased from us in a private placement an aggregate of $6,809,896 in shares of our common stock at a price per share of $7.20, or 945,819 shares of our common stock.</w:t>
      </w:r>
    </w:p>
    <w:p>
      <w:pPr>
        <w:spacing w:after="0" w:line="16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Pursuant to the terms of the Restructuring Agreement, we commenced a rights offering on April 27, 2018 to allow our stockholders as of the April 27, 2018 record date, including the selling stockholders, to purchase up to an aggregate of 1,137,515 shares of our common stock at a subscription price of $7.20 per share.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Placement SPA</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February 14, 2018, we entered into a Securities Purchase Agreement (Private Placement SPA) with ROS and Royalty Opportunities. Pursuant to the Private Placement SPA, on February 14, 2018, ROS and Royalty Opportunities purchased from us a total of 945,819 shares of our common stock, at a price of $7.20 per share, for aggregate proceeds of $6,809,896. Under the Private Placement SPA, 603,687 of such shares of our common stock were issued to ROS and 342,132 of such shares of common stock were issued to Royalty Opportunities.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Effective February 14, 2018, we entered into a Registration Rights Agreement with the selling stockholders, which requires us, among other things, to file with the SEC a shelf registration statement (which, initially, will be on Form S-1 and, as soon as we are eligible, on Form S-3) covering the resale, from time to time, of our common stock that was issued upon conversion or exchange of the Notes and in the February 2018 private placement no later than May 15, 2018 and use our best efforts to cause the shelf registration statement to become effective under the Securities Act no later than August 13, 2018. The registration statement, of which this prospectus is a part, was filed pursuant to our obligations under the Registration Rights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Investor Rights Agreement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Effective February 14, 2018, we entered into an Investor Rights Agreement with Royalty Opportunities, ROS, PWPI and PWIMF. Under the Investor Rights Agreement, ROS and Royalty Opportunities are permitted to nominate a majority of the directors and designate the chairperson of our board of directors at subsequent annual meetings, as long as they maintain an ownership threshold in our Company of at least 40% of our then outstanding common stock (the Ownership Threshold). If ROS and Royalty Opportunities are unable to maintain the Ownership Threshold, the Investor Rights Agreement contemplates a reduction of nomination rights commensurate with our ownership interests.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so long as the Ownership Threshold is met, we must obtain the approval of a majority of our common stock held by ROS and Royalty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Opportunities to proceed with the following actions: (i) issue new securities; (ii) incur over $250,000 of debt in a fiscal year; (iii) sell or transfer over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of our assets or businesses or our subsidiaries in a fiscal year; (iv) acquire over $250,000 of assets or properties in a fiscal year; (v) make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expenditures over $125,000 individually, or $1,500,000 in the aggregate during a fiscal year; (vi) approve our annual budget; (vii) hire or terminate our chief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 (viii) appoint or remove the chairperson of our board of directors; and (ix) make, loans to, investments in, or purchase, or permit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to purchase, any stock or other securities in another entity in excess of $250,000 in a fiscal year. As long as the Ownership Threshold is met,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not increase the size of our board or directors beyond seven directors without the approval of a majority of the directors nominated by ROS and Royalty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Opportunities.</w:t>
      </w:r>
    </w:p>
    <w:p>
      <w:pPr>
        <w:spacing w:after="0" w:line="211" w:lineRule="exact"/>
        <w:rPr>
          <w:sz w:val="20"/>
          <w:szCs w:val="20"/>
          <w:color w:val="auto"/>
        </w:rPr>
      </w:pPr>
    </w:p>
    <w:p>
      <w:pPr>
        <w:jc w:val="both"/>
        <w:ind w:right="180" w:firstLine="648"/>
        <w:spacing w:after="0" w:line="291" w:lineRule="auto"/>
        <w:rPr>
          <w:sz w:val="20"/>
          <w:szCs w:val="20"/>
          <w:color w:val="auto"/>
        </w:rPr>
      </w:pPr>
      <w:r>
        <w:rPr>
          <w:rFonts w:ascii="Arial" w:cs="Arial" w:eastAsia="Arial" w:hAnsi="Arial"/>
          <w:sz w:val="16"/>
          <w:szCs w:val="16"/>
          <w:color w:val="auto"/>
        </w:rPr>
        <w:t>The Investor Rights Agreement grants Royalty Opportunities, ROS, PWPI and PWIMF the right to purchase from us a pro rata amount of any new securities that we may propose to issue and sell. The Investor Rights Agreement may be terminated (a) upon the mutual written agreement of all the parties,</w:t>
      </w:r>
    </w:p>
    <w:p>
      <w:pPr>
        <w:jc w:val="both"/>
        <w:ind w:right="120" w:firstLine="8"/>
        <w:spacing w:after="0" w:line="302"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our written notice, ROS or Royalty Opportunities if ROS and Royalty Opportunities’s ownership percentage of our then outstanding common stock is less than 10%, or (c) upon written notice of ROS and Royalty Opportunities. The right of PWPI and PWIMF to purchase from us a pro rata amount of any new securities will terminate at such time as their aggregate ownership percentage of our then outstanding common stock is less than 8.5%.</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entered into a credit agreement with ROS on August 24, 2012, which was amended and restated on July 27, 2015 and subsequently amended 23 times thereafter, most recently on February 14, 2018 in connection with our restructuring (collectively, the Amended and Restated Credit Agreement), which established a credit facility (Credit Facility). The material amendments are described below.</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6"/>
          <w:szCs w:val="16"/>
          <w:color w:val="auto"/>
        </w:rPr>
        <w:t>On July 31, 2015, we recorded $42 million of principal debt pursuant to the Credit Facility with ROS and Royalty Opportunities, which has a maturity date of July 31, 2020 (Maturity Date). Interest under the Credit Facility is bifurcated into a “cash pay” portion and a “payment-in-kind” portion. Until June 30, 2018 (First Period), interest on loans outstanding under the Credit Facility will accrue at a rate equal to the sum of (a) 9% per annum, which portion of interest will be payable in cash, plus (b) additional interest (PIK Interest) in an amount equal to (i) the sum of 14% per annum, plus the higher of</w:t>
      </w:r>
    </w:p>
    <w:p>
      <w:pPr>
        <w:spacing w:after="0" w:line="2" w:lineRule="exact"/>
        <w:rPr>
          <w:sz w:val="20"/>
          <w:szCs w:val="20"/>
          <w:color w:val="auto"/>
        </w:rPr>
      </w:pPr>
    </w:p>
    <w:p>
      <w:pPr>
        <w:ind w:right="100" w:firstLine="8"/>
        <w:spacing w:after="0" w:line="287"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LIBO Rate and (y) 1% per annum, minus (ii) 9% per annum, which portion of interest will be payable “in kind.” On or after June 30, 2018 until the Credit Facility is repaid in full (Second Period), interest on loans outstanding under the Credit Facility will accrue at a rate equal to the sum of (a) 12% per annum, which portion of interest will be payable in cash, plus (b) PIK Interest in an amount equal to the difference of (i) the sum of 14% per annum, plus the higher of (x) the LIBO Rate and (y) 1% per annum, minus (ii) 12% per annum, which portion of interest will be payable “in kind.” In both the First Period and the Second Period, the portion of accrued interest constituting PIK Interest will not be payable in cash but will instead be added to the principal amount outstanding under the Credit Facility. However, at our option, we may choose to make any “payment-in-kind” interest payment in cash. Until the third anniversary of the closing date of the Credit Facility, we will not be allowed to voluntarily prepay the Credit Facility. Whenever loans outstanding under the Credit Facility are prepaid or paid, whether voluntarily, involuntarily or on the Maturity Date, a fee of 7.5% on the amount paid will be due and payable.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right="20" w:firstLine="648"/>
        <w:spacing w:after="0" w:line="273" w:lineRule="auto"/>
        <w:rPr>
          <w:sz w:val="20"/>
          <w:szCs w:val="20"/>
          <w:color w:val="auto"/>
        </w:rPr>
      </w:pPr>
      <w:r>
        <w:rPr>
          <w:rFonts w:ascii="Arial" w:cs="Arial" w:eastAsia="Arial" w:hAnsi="Arial"/>
          <w:sz w:val="17"/>
          <w:szCs w:val="17"/>
          <w:color w:val="auto"/>
        </w:rPr>
        <w:t>The Credit Facility contains financial and other covenant requirements, including, but not limited to, financial covenants that require us to maintain revenue and liquidity at levels set forth in the Credit Facility and ensure that the Company’s senior consolidated leverage ratio does not exceed levels set forth in the Credit Facility. The Credit Facility also restricts us from making any payment or distribution with respect to, or purchasing, redeeming, defeasing, retiring or acquiring, the Notes other than payments of scheduled interest on the Notes, issuance of shares of our common stock upon conversion of the Notes, and payment of cash in lieu of fractional shares. The loans under the Credit Facility are guaranteed by us and our current and future subsidiaries and are secured by substantially all of the current and future assets of our Company and our subsidiaries.</w:t>
      </w:r>
    </w:p>
    <w:p>
      <w:pPr>
        <w:spacing w:after="0" w:line="17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July 29, 2016, we entered into the fourth amendment to the Credit Facility which provided for an additional “Tranche A Commitment” in an amount up to $1,000,000 from ROS and Royalty Opportunities, which was made available to us on July 29, 2016.</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September 27, 2016, we entered into the sixth amendment to the Credit Facility which increased the fee on any amounts paid under the Credit Facility from 7.5% to 9.0%. Under the sixth amendment, regular interest will not accrue during the period from July 1, 2016 to September 30, 2016; however, during such period, PIK Interest will accrue at a rate per annum equal to 9.00%, and such PIK Interest will be added to the outstanding principal amount of the loans at September 30, 2016. The sixth amendment also modified the negative covenants of the Credit Facility by increasing the amount of purchase money indebtedness and capitalized lease liabilities allowed to be incurred by us.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seventh amendment (effective December 31, 2016), eighth amendment (effective January 13, 2017), ninth amendment (effective January 31, 2017), tenth amendment (effective February 14, 2017), eleventh amendment (effective February 28, 2017), twelfth amendment (effective March 31, 2017), thirteenth amendment (effective April 30, 2017), fourteenth amendment (effective May 11, 2017), fifteenth amendment (effective June 30, 2017), sixteenth amendment (effective July 15, 2017), seventeenth amendment (effective August 11, 2017), eighteenth amendment (effective September 29, 2017), nineteenth amendment (effective October 31, 2017), twentieth amendment (effective November 30, 2017), and twenty-first amendment (effective December 28, 2017) deferred our accrued interest payment date for the fiscal quarters ended on December 31, 2016, March 31, 2017, June 30, 2017, September 30, 2017 and December 31, 2017 until January 31, 2018.</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interest due on January 31, 2018 for the fiscal quarter ended on December 31, 2016 was $1,147,329, plus interest accrued on such interest from January 2, 2017 until paid at a rate equal to 14% plus the higher of the LIBO Rate (as defined in the Credit Facility) for the fiscal quarter ended on December 31, 2016, or 1%. The interest due on January 31, 2018 for the fiscal quarter ended on March 31, 2017 is $1,139,597, plus interest accrued on such interest from April 1, 2017 until paid at a rate equal to 14% plus the higher of the LIBO Rate for the fiscal quarter ended on March 31, 2017, or 1%. The interest due on January 31, 2018 for the fiscal quarter ended on June 30, 2017 was $1,303,935, plus interest accrued on such interest from July 1, 2017 until paid at a rate equal to 14% plus the higher of the LIBO Rate for the fiscal quarter ended on June 30, 2017, or 1%. The interest due on January 31, 2018 for the fiscal quarter ended on September 30, 2017 was $1,482,406, plus interest accrued on such interest from October 2, 2017 until paid at a rate equal to 14% plus the higher of the LIBO Rate for the fiscal quarter ended on September 30, 2017, or 1%. The interest due on January 31, 2018 for the fiscal quarter ended on December 31, 2017 was $1,521,262, plus interest accrued on such interest from January 2, 2018 until paid at a rate equal to 14% plus the higher of the LIBO Rate for the fiscal quarter ended on December 31, 2017, or 1%.</w:t>
      </w:r>
    </w:p>
    <w:p>
      <w:pPr>
        <w:spacing w:after="0" w:line="17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twelfth amendment waived any non-compliance with the covenant set forth in Section 7.1(c) of the Credit Facility due to the going concern qualification included in our audit report for the year ended December 31,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right="60" w:firstLine="648"/>
        <w:spacing w:after="0" w:line="255" w:lineRule="auto"/>
        <w:rPr>
          <w:sz w:val="20"/>
          <w:szCs w:val="20"/>
          <w:color w:val="auto"/>
        </w:rPr>
      </w:pPr>
      <w:r>
        <w:rPr>
          <w:rFonts w:ascii="Arial" w:cs="Arial" w:eastAsia="Arial" w:hAnsi="Arial"/>
          <w:sz w:val="18"/>
          <w:szCs w:val="18"/>
          <w:color w:val="auto"/>
        </w:rPr>
        <w:t>The fourteenth amendment to the Credit Facility allowed us to borrow additional term loans from ROS and Royalty Opportunities in an aggregate amount of up to $15,000,000 (Additional Delayed Draw Loans), of which $12,787,094 was drawn as of May 15, 2018. Each loan draw made by us is subject to our production of a thirteen-week cash flow forecast that is approved by ROS and Royalty Opportunities. The funding of each Additional Delayed Draw Loan by ROS and Royalty Opportunities is subject to the satisfaction (or waiver in writing by each lender) of conditions precedent, including closing certificate, delivery of budget, the hiring of a chief restructuring officer, a payoff letter from Silicon Valley Bank, a previous lender to us, and other satisfactory documents.</w:t>
      </w:r>
    </w:p>
    <w:p>
      <w:pPr>
        <w:spacing w:after="0" w:line="193"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twentieth amendment modified the consolidated senior leverage ratio financial covenant of the Credit Facility by moving the commencement date of the covenant from the most recent four fiscal quarters ended December 31, 2017, to the most recent four fiscal quarters ended March 31, 2018. The twentieth amendment waived any non-compliance with the covenant set forth in Section 7.1(b) of the Credit Facility with respect to the timely filing of our quarterly report on Form 10-Q for the quarterly period ended September 30, 2017.</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Effective November 14, 2017, we, ROS and Royalty Opportunities, entered into a Waiver to Amended and Restated Credit Agreement, which waived any non-compliance with the minimum revenue base covenant for the quarter ending September 30, 2017.</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twenty-first amendment modified the minimum liquidity financial covenant of the Credit Facility by allowing us and our subsidiaries to maintain a liquidity amount of not less than $100,000 until January 31, 2018. At all times after January 31, 2018, the liquidity of our Company and our subsidiaries must not be less than $5,000,000.</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Effective January 30, 2018, we, ROS and Royalty Opportunities, entered into the Twenty-Second Amendment to Amended and Restated Credit Agreement, which amended the Credit Facility. The amendment further deferred our accrued interest payment date for the fiscal quarters ended on December 31, 2016, March 31, 2017, June 30, 2017, September 30, 2017 and December 31, 2017 until February 28, 2018.</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interest due on February 28, 2018 for the fiscal quarter ended on December 31, 2016, was $1,147,329, plus interest accrued on such interest from January 2, 2017 until paid at a rate equal to 14% plus the higher of the LIBO Rate (as defined in the Credit Facility) for the fiscal quarter ended on December 31, 2016, or 1%. The interest due on February 28, 2018 for the fiscal quarter ended on March 31, 2017 was $1,139,597, plus interest accrued on such interest from April 1, 2017 until paid at a rate equal to 14% plus the higher of the LIBO Rate for the fiscal quarter ended on March 31, 2017, or 1%. The interest due on February 28, 2018 for the fiscal quarter ended on June 30, 2017 was $1,303,935, plus interest accrued on such interest from July 1, 2017 until paid at a rate equal to 14% plus the higher of the LIBO Rate for the fiscal quarter ended on June 30, 2017, or 1%. The interest due on February 28, 2018 for the fiscal quarter ended on September 30, 2017 was $1,482,406, plus interest accrued on such interest from October 2, 2017 until paid at a rate equal to 14% plus the higher of the LIBO Rate for the fiscal quarter ended on September 30, 2017, or 1%. The interest due on February 28, 2018 for the fiscal quarter ended on December 31, 2017 was $1,521,262, plus interest accrued on such interest from January 2, 2018 until paid at a rate equal to 14% plus the higher of the LIBO Rate for the fiscal quarter ended on December 31, 2017, or 1%.</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amendment also modified the minimum liquidity financial covenant of the Credit Facility by allowing us and our subsidiaries to maintain a liquidity amount of not less than $100,000 until February 28, 2018. At all times after February 28, 2018, the liquidity of our Company and our subsidiaries must not be less than $5,000,000.</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Effective February 14, 2018, we, ROS and Royalty Opportunities, entered into the Twenty-Third Amendment to Amended and Restated Credit Agreement, which amended the Credit Facility. As of this Amendment, the interest payable has been carried forward at the modified interest rate options within the Credit Facility as follows: (a) through December 31, 2018, we will have the option at our sole discretion (i) to pay PIK Interest at LIBOR (as defined in the Credit Facility) plus 12% or (ii) pay cash interest at LIBOR plus 10%; (b) beginning January 1, 2019 through June 30, 2019, we will have the option at our sole discretion to either (i) pay PIK Interest at LIBOR plus 15% or (ii) pay cash interest at LIBOR plus 10%; and (c) beginning July 1, 2019 through the Maturity Date, we will pay cash interest at LIBOR plus 10%. This amendment also reduced the prepayment or repayment fee under the Credit Facility to 1%. The amendment also made certain modifications to the financial covenants in the Amended and Restated Credit Agreement, including removing the minimum revenue covenant, providing a minimum liquidity covenant, a consolidated leverage ratio, and minimum consolidated EBITDA, all as defined in the Amended and Restated Credit Agreement. The loans under the Credit Facility are guaranteed by us and our current and future subsidiaries and are secured by substantially all of our current and future assets and our subsidiaries.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i w:val="1"/>
          <w:iCs w:val="1"/>
          <w:color w:val="auto"/>
        </w:rPr>
        <w:t>Convertible Note Indenture</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July 31, 2015, we completed an offering of $65 million aggregate principal amount of 6.00% convertible senior unsecured notes due 2021 (Notes) in a private offering to qualified institutional buyers, as defined in Rule 144A under the Securities Act, when we entered into an Indenture with Wilmington Trust, National Association (Indenture). ROS and Royalty Opportunities initially purchased $49 million aggregate principal amount of the Notes directly from us, while Bruce Fund, Inc. (Bruce Fund), Park West Partners International, Limited, Park West Investors Master Fund, Limited, and Telemetry Securities, L.L.C. (Telemetry and, together with ROS, Royalty Opportunities, Bruce Fund, PWPI and PWIMF, collectively, the Holders), collectively purchased the remaining $16 million of the Notes. On August 10, 2015, ROS and Royalty Opportunities exercised their option with respect to an additional $3 million aggregate principal amount of the Notes, for a total aggregate principal amount of $52 million of the Notes in the offering.</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April 14, 2016, we entered into a securities purchase agreement with ROS and Royalty Opportunities and issued $2,238,166 aggregate principal amount of convertible senior unsecured notes (2016 Notes) in a private placement. The proceeds were utilized to pay interest due for both the Notes and the Credit Facility (described below) on April 15, 2016. The 2016 Notes may be converted into shares of our common stock at an initial conversion price of approximately $34.80 per share.</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January 17, 2017, we entered into securities purchase agreements with Bruce Fund, PWPI, PWIMF and Telemetry, to satisfy interest obligations that were owed to such parties under the Notes issued to them under the Indenture. Pursuant to such agreements, the parties agreed to purchase from us a total of 70,274 shares of our common stock at a price of $6.83 per share.</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January 17, 2017, we entered into securities purchase agreements and certain related documents with ROS and Royalty Opportunities to satisfy interest obligations that we owed to them pursuant to the Notes and the 2016 Notes. Pursuant to such agreements, ROS and Royalty Opportunities agreed to purchase from us a new series of 6% Convertible Senior Notes Due 2021 in the aggregate original principal amount of up to $1,560,000 for the Notes, and $67,145 for the 2016 Notes (collectively, the 2017 Notes and together with the 2016 Notes, the Additional Notes). The 2017 Notes are convertible into our common stock at a conversion price of $9.11 per share.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Additional Notes and the Notes bore interest at a rate equal to 6.00% per year. Interest on the Additional Notes and the Notes was scheduled to be payable semiannually in arrears on January 15 and July 15 of each year. Interest accrued on the Additional Notes and the Notes from the last date to which interest has been paid or duly provided for. Unless earlier converted or repurchased, the Additional Notes and the Notes were scheduled to mature on July 15, 2021.</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Effective March 31, 2017, the Company, ROS and Royalty Opportunities entered into a waiver letter (Indenture Waiver) of the Indenture. Under the Indenture Waiver, ROS and Royalty Opportunities waived any non-compliance with the covenant set forth in Section 6.01(a)(vii) of the Indenture due to the going concern qualification included in our audit report for the year ended December 31, 2016.</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ROS and Royalty Opportunities also entered into a waiver (Notes Waiver) for defaults that occurred under multiple convertible promissory notes (including the Notes and the Additional Notes). Under the Notes Waiver, ROS and Royalty Opportunities waived any non-compliance with the covenants set forth in Section 6.01(a)(vii) of their respective notes due to the going concern qualification included in our audit report for the year ended December 31, 2016.</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right="120" w:firstLine="648"/>
        <w:spacing w:after="0" w:line="288" w:lineRule="auto"/>
        <w:rPr>
          <w:sz w:val="20"/>
          <w:szCs w:val="20"/>
          <w:color w:val="auto"/>
        </w:rPr>
      </w:pPr>
      <w:r>
        <w:rPr>
          <w:rFonts w:ascii="Arial" w:cs="Arial" w:eastAsia="Arial" w:hAnsi="Arial"/>
          <w:sz w:val="16"/>
          <w:szCs w:val="16"/>
          <w:color w:val="auto"/>
        </w:rPr>
        <w:t>Effective July 15, 2017, the Holders entered into an omnibus waiver which deferred interest accrued on the Notes (Omnibus Waiver). Under the Omnibus Waiver and pursuant to Section 9.02 of the Indenture and Section 10.13 of the Notes, the interest due July 15, 2017 on the Notes was deferred until August 15, 2017, to be paid in cash together with interest accrued on such interest from July 15, 2017 to the date of the payment thereof at a rate equal to</w:t>
      </w:r>
    </w:p>
    <w:p>
      <w:pPr>
        <w:ind w:right="300"/>
        <w:spacing w:after="0" w:line="255" w:lineRule="auto"/>
        <w:rPr>
          <w:sz w:val="20"/>
          <w:szCs w:val="20"/>
          <w:color w:val="auto"/>
        </w:rPr>
      </w:pPr>
      <w:r>
        <w:rPr>
          <w:rFonts w:ascii="Arial" w:cs="Arial" w:eastAsia="Arial" w:hAnsi="Arial"/>
          <w:sz w:val="18"/>
          <w:szCs w:val="18"/>
          <w:color w:val="auto"/>
        </w:rPr>
        <w:t>6.00% per annum plus 100 basis points. Also under the Omnibus Waiver, the Holders waived any event of default that occurred under the Indenture or the Notes as a result of our failure to pay interest accrued on the Notes on July 15, 2017. The convertible interest due on July 15, 2017 under our various convertible promissory notes was deferred by the holders of such notes until August 15, 2017.</w:t>
      </w:r>
    </w:p>
    <w:p>
      <w:pPr>
        <w:spacing w:after="0" w:line="19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Effective August 15, 2017, September 29, 2017, October 31, 2017, November 30, 2017 and December 28, 2017, the Company, ROS and Royalty Opportunities entered into the Amendment and Waiver, and the Second, Third, Fourth and Fifth Amendment and Waiver, respectively, which amended the Additional Notes by moving the payment date of interest accrued on the Additional Notes as follows: (a) for interest accrued on the Additional Notes that was originally required to be paid on July 15, 2017, from July 15, 2017 to January 31, 2018, and (b) for interest accrued on the Additional Notes that is required to be paid on January 15, 2018, from January 15, 2018 to January 31, 2018. The amendment also waived any event of default that may have occurred as a result of the non-payment of interest on July 15, 2017 or January 15, 2018. The interest payment due on January 31, 2018 includes interest accrued on such interest from July 15, 2017 and January 15, 2018, respectively, to the date of payment thereof at a rate equal to 6.00% per annum plus 100 basis points.</w:t>
      </w:r>
    </w:p>
    <w:p>
      <w:pPr>
        <w:spacing w:after="0" w:line="16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Effective August 16, 2017, October 2, 2017, October 31, 2017, December 1, 2017 and December 29, 2017, the Company and Wilmington Trust, National Association, entered into the Amendment Numbers 1, 2, 3, 4 and 5 to the Indenture, respectively, which amended the existing Indenture. The amendments amended the Indenture by moving the payment date of interest accrued on the Notes issued under the Indenture as follows: (a) for interest accrued on the Notes that was originally required to be paid on July 15, 2017, from July 15, 2017 to January 31, 2018, and (b) for interest accrued on the Notes that is required to be paid on January 15, 2018, from January 15, 2018 to January 31, 2018. Amendment Number 5 to the Indenture also set the record dates for the January 31, 2018 interest payments at June 30, 2017 and December 31, 2017, respectively, and waived any event of default that may have occurred as a result of the non-payment of interest on July 15, 2017 or January 15, 2018. The interest payments due on January 31, 2018 includes interest accrued on such interest from July 15, 2017 and January 15, 2018, respectively, to the date of payment thereof at a rate equal to 6.00% per annum plus 100 basis points.</w:t>
      </w:r>
    </w:p>
    <w:p>
      <w:pPr>
        <w:spacing w:after="0" w:line="18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Effective January 17, 2018, we entered into the Sixth Amendment with ROS and Royalty Opportunities, which amended the 2017 Notes. The amendment amended the 2017 Notes by removing the limitations on stock ownership that prevented ROS, Royalty Opportunities or any of their affiliates from effecting a conversion of the 2017 Notes if such conversion would result in the holder or any of its affiliates beneficially owning in excess of 9.99% of the then outstanding shares of our common stock and providing that the Conversion Consideration (as defined therein) due upon conversion of the 2017 Notes shall account for any accrued and unpaid interest on the 2017 Notes.</w:t>
      </w:r>
    </w:p>
    <w:p>
      <w:pPr>
        <w:spacing w:after="0" w:line="188"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Effective January 30, 2018, we entered into the Amendment Number 6 to the Indenture with Wilmington Trust, National Association, which amended the Indenture. The amendment amended the Indenture by moving the payment date of interest accrued on the Notes issued under the Indenture as follows: (a) for interest accrued on the such Notes that was originally required to be paid on July 15, 2017, from January 31, 2018 to February 28, 2018, and</w:t>
      </w:r>
    </w:p>
    <w:p>
      <w:pPr>
        <w:ind w:right="280" w:firstLine="8"/>
        <w:spacing w:after="0" w:line="253"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interest accrued on the such Notes that was required to be paid on January 15, 2018, from January 31, 2018 to February 28, 2018. The Indenture Amendment also set the record dates for the February 28, 2018 interest payments at June 30, 2017 and December 31, 2017, respectively, and waived any event of default that may have occurred as a result of the non-payment of interest on July 15, 2017 or January 15, 2018. The interest payments due on February 28, 2018 includes interest accrued on such interest from July 15, 2017 and January 15, 2018, respectively, to the date of payment thereof at a rate equal to 6.00% per annum plus 100 basis points.</w:t>
      </w:r>
    </w:p>
    <w:p>
      <w:pPr>
        <w:spacing w:after="0" w:line="19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Effective January 30, 2018, we entered into the Sixth Amendment and Waiver with ROS and Royalty Opportunities, which amended the 2016 Notes. The amendment amended the 2016 Notes by moving the payment date of interest accrued on the 2016 Notes as follows: (a) for interest accrued on the 2016 Notes that was originally required to be paid on July 15, 2017, from January 31, 2018 to February 28, 2018, and (b) for interest accrued on the 2016 Notes that was required to be paid on January 15, 2018, from January 31, 2018 to February 28, 2018. The amendment also waived any event of default that may have occurred as a result of the non-payment of interest on July 15, 2017 or January 15, 2018. The interest payment due on February 28, 2018 includes interest accrued on such interest from July 15, 2017 and January 15, 2018, respectively, to the date of payment thereof at a rate equal to 6.00% per annum plus 100 basis points.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200" w:firstLine="648"/>
        <w:spacing w:after="0" w:line="259" w:lineRule="auto"/>
        <w:rPr>
          <w:sz w:val="20"/>
          <w:szCs w:val="20"/>
          <w:color w:val="auto"/>
        </w:rPr>
      </w:pPr>
      <w:r>
        <w:rPr>
          <w:rFonts w:ascii="Arial" w:cs="Arial" w:eastAsia="Arial" w:hAnsi="Arial"/>
          <w:sz w:val="18"/>
          <w:szCs w:val="18"/>
          <w:color w:val="auto"/>
        </w:rPr>
        <w:t>As previously mentioned, pursuant to the Restructuring Agreement, and following the execution of the Sixth Amendment to the 2017 Notes, described above, on January 17, 2018, ROS and Royalty Opportunities converted the 2017 Notes, plus accrued and unpaid interest, at the $9.11 per share conversion rate originally provided thereunder, into 189,645 shares of our common stock (of which 121,045 of such shares of common stock were issued to ROS and 68,600 of such shares of common stock were issued to Royalty Opportunities).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as previously mentioned, pursuant to the Restructuring Agreement, and after approval of the stockholders at the Company’s special meeting of stockholders held on February 13, 2018 (Special Meeting), on February 14, 2018, the remaining $70.238 million aggregate principal amount of our outstanding 6.00% convertible senior unsecured notes due 2021 held by the Holders (Remaining Notes), consisting of the Notes and the 2016 Notes, plus accrued and unpaid interest, were exchanged for newly-issued shares of our common stock at an exchange rate of 138.8889 shares per $1,000 principal amount of the Remaining Notes, for an exchange price of $7.20 per share (Notes Exchange). This resulted in the issuance of 10,401,309 shares of our common stock to the Holders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w w:val="93"/>
              </w:rPr>
              <w:t>Shares of Common Stock</w:t>
            </w:r>
          </w:p>
        </w:tc>
      </w:tr>
      <w:tr>
        <w:trPr>
          <w:trHeight w:val="234"/>
        </w:trPr>
        <w:tc>
          <w:tcPr>
            <w:tcW w:w="9360" w:type="dxa"/>
            <w:vAlign w:val="bottom"/>
            <w:gridSpan w:val="2"/>
          </w:tcPr>
          <w:p>
            <w:pPr>
              <w:ind w:left="4300"/>
              <w:spacing w:after="0"/>
              <w:rPr>
                <w:sz w:val="20"/>
                <w:szCs w:val="20"/>
                <w:color w:val="auto"/>
              </w:rPr>
            </w:pPr>
            <w:r>
              <w:rPr>
                <w:rFonts w:ascii="Arial" w:cs="Arial" w:eastAsia="Arial" w:hAnsi="Arial"/>
                <w:sz w:val="18"/>
                <w:szCs w:val="18"/>
                <w:b w:val="1"/>
                <w:bCs w:val="1"/>
                <w:color w:val="auto"/>
              </w:rPr>
              <w:t>Holder</w:t>
            </w: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w w:val="91"/>
              </w:rPr>
              <w:t>Issued in Notes Exchange</w:t>
            </w:r>
          </w:p>
        </w:tc>
      </w:tr>
      <w:tr>
        <w:trPr>
          <w:trHeight w:val="210"/>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ROS</w:t>
            </w:r>
          </w:p>
        </w:tc>
        <w:tc>
          <w:tcPr>
            <w:tcW w:w="2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5,126,534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Royalty Opportunities</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2,905,396</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Fund</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296,172</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PWPI</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153,828</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PWIMF</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1,104,905</w:t>
            </w: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Telemetry</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814,474</w:t>
            </w:r>
          </w:p>
        </w:tc>
      </w:tr>
    </w:tbl>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Upon the completion of the Notes Exchange, all outstanding obligations under the Remaining Notes were satisfied in full and the Indenture and the 2016 Notes were discharged.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Support Agreement</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January 11, 2018, our executive officers and directors and certain of our stockholders (collectively the Support Equityholders), entered into a support agreement with ROS and Royalty Opportunities (Support Agreement) simultaneously with the execution of the Restructuring Agreement. Under the Support Agreement, the Support Equityholders agreed to vote their shares of common stock in favor of the approval of: (i) the amendment to our Charter and the issuance of common stock pursuant to the Notes Exchange, (ii) any proposal to adjourn or postpone the meeting to a later date, if there were not sufficient votes for the approval of the such proposals on the date on which such meeting is held, and (iii) any other proposal included in the proxy statement for the Special Meeting that relates to the consummation of the restructuring that the Xtant board of directors recommended our stockholders approve. The Support Equityholders also appointed ROS and Royalty Opportunities as attorney-in-fact and proxy to vote all applicable shares of the Support Equityholders consistent with the provisions of the Support Agreement. The Support Equityholders made standard representations and warranties related to their ownership of common stock.</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Relationships with ROS and Royalty Opportunities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Matthew Rizzo and Michael Eggenberg, both of whom are employees of OrbiMed Advisors, and Jeffrey Peters, a Venture Partner with OrbiMed Advisors, were elected to our board of directors on February 13, 2018, and, accordingly, OrbiMed Advisors may have the ability to affect and influence control over us. As non-employee directors, from time to time, Messrs. Rizzo, Eggenberg and Peters may receive equity awards pursuant to our compensation arrangements for non-employee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selling stockholders and any of their respective transferees, pledgees, donees, assignees or other successors-in-interest may, from time to time, sell any or all their respective shares of common stock on any stock exchange, market or trading facility on which the shares are traded or in private transactions, subject to certain transfer restrictions imposed upon certain of the shares of common stock covered by this prospectus. See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w:t>
      </w:r>
      <w:r>
        <w:rPr>
          <w:rFonts w:ascii="Arial" w:cs="Arial" w:eastAsia="Arial" w:hAnsi="Arial"/>
          <w:sz w:val="18"/>
          <w:szCs w:val="18"/>
          <w:color w:val="auto"/>
        </w:rPr>
        <w:t>.” Such sales may be made on one or more exchanges or in the over-the-counter market or otherwise, at prices and under terms then prevailing or</w:t>
      </w:r>
      <w:r>
        <w:rPr>
          <w:rFonts w:ascii="Arial" w:cs="Arial" w:eastAsia="Arial" w:hAnsi="Arial"/>
          <w:sz w:val="18"/>
          <w:szCs w:val="18"/>
          <w:i w:val="1"/>
          <w:iCs w:val="1"/>
          <w:color w:val="auto"/>
        </w:rPr>
        <w:t xml:space="preserve"> </w:t>
      </w:r>
      <w:r>
        <w:rPr>
          <w:rFonts w:ascii="Arial" w:cs="Arial" w:eastAsia="Arial" w:hAnsi="Arial"/>
          <w:sz w:val="18"/>
          <w:szCs w:val="18"/>
          <w:color w:val="auto"/>
        </w:rPr>
        <w:t>at prices related to the then current market price or in negotiated transactions. The selling stockholders may use any one or more of the following methods when selling shares:</w:t>
      </w:r>
    </w:p>
    <w:p>
      <w:pPr>
        <w:spacing w:after="0" w:line="19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agreements between broker-dealers and the selling stockholder to sell a specified number of such shares at a stipulated price per share;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exchange or market distribution in accordance with the rules of the NYSE American;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options, swaps or derivatives;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stockholders also may sell shares under Rule 144 under the Securities Act, if available, rather than under this prospectus.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selling stockholders also may transfer the shares of common stock in other circumstances, in which case the transferees or other successors-in-interest will be the selling beneficial owners for purposes of this prospectus.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 In connection with sales of the shares of common stock offered hereby or otherwise, the selling stockholders may enter into hedging transactions with broker-dealers, which may in turn engage in short sales of the shares of common stock offered hereby in the course of hedging in positions they assume. The selling stockholders may also sell shares of common stock offered hereby short and deliver shares of common stock covered by this prospectus to close out short positions and to return borrowed shares in connection with such short sales. The selling stockholders may also loan or pledge shares of common stock offered hereby to broker-dealers that in turn may sell such shares.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ind w:right="100" w:firstLine="648"/>
        <w:spacing w:after="0" w:line="302" w:lineRule="auto"/>
        <w:rPr>
          <w:sz w:val="20"/>
          <w:szCs w:val="20"/>
          <w:color w:val="auto"/>
        </w:rPr>
      </w:pPr>
      <w:r>
        <w:rPr>
          <w:rFonts w:ascii="Arial" w:cs="Arial" w:eastAsia="Arial" w:hAnsi="Arial"/>
          <w:sz w:val="16"/>
          <w:szCs w:val="16"/>
          <w:color w:val="auto"/>
        </w:rPr>
        <w:t>In offering the shares covered by this prospectus, the selling stockholders and any broker-dealers who execute sales for the selling stockholders may be deemed to be “underwriters” within the meaning of the Securities Act in connection with such sales. In such case, any profits realized by the selling stockholders and the compensation of any broker-dealer may be deemed to be underwriting discounts and commissions. In no event shall any broker-dealer receive fees, commissions and markups which, in the aggregate, would exceed the amount permitted by applicable regulations.</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satisfied.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selling stockholders have informed us that none of them has any agreement or understanding, directly or indirectly, with any person to distribute the shares of common stock. If any selling stockholder notifies us that an arrangement has been entered into with a broker-dealer for the sale of shares through a block trade, special offering or secondary distribution or a purchase by a broker or dealer, we may be required to file a prospectus supplement pursuant to the applicable rules promulgated under the Securities Act.</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shelf registration statement, of which this prospectus is a part.</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We have agreed to indemnify the selling stockholders against certain losses, claims, damages and liabilities, including liabilities under the Securities Act.</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agreed to use our best efforts to keep the registration statement of which this prospectus is a part continuously effective, supplemented and amended as required by the Securities Act, in order to permit this prospectus to be usable by the selling stockholders for a period from the date the registration statement becomes effective to, and including, the date upon which no registrable securities are outstanding and constitute “restricted securities” (as defined in Rule 144 under the Securities Act). We will bear all expenses incurred in connection with the performance of our obligations under the Registration Rights Agreement and will reimburse the selling stockholders for the reasonable fees and disbursements of one firm or counsel to act as counsel for the selling stockholders in connection with this offering.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validity of the shares of common stock being offered by this prospectus has been passed upon for us by Fox Rothschild LLP, Minneapolis, Minnesota.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financial statements for the years ended December 31, 2017 and 2016 incorporated by reference into this prospectus and registration statement have been audited by EKS&amp;H LLLP, an independent registered public accounting firm, as set forth in their report thereon, dated April 2, 2018, appearing in our Annual Report on Form 10-K for the year ended December 31, 2017 and incorporated by reference into this prospectus and registration statement, and such report is included in reliance upon the authority of such firm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are currently subject to the information requirements of the Exchange Act and in accordance therewith file periodic reports, proxy statements and other information with the Securities and Exchange Commission. You may read and copy (at prescribed rates) any such reports, proxy statements and other information at the SEC’s Public Reference Room at 100 F Street, N.E., Washington, D.C. 20549. Please call the SEC at 1-800-SEC-0330 for further information on the operation of the public reference room. Our SEC filings also are available to you on the SEC’s website at http://www.sec.gov.</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In addition, we maintain a website that contains information regarding our company, including copies of reports, proxy statements and other information we file with the SEC. The address of our website is </w:t>
      </w:r>
      <w:r>
        <w:rPr>
          <w:rFonts w:ascii="Arial" w:cs="Arial" w:eastAsia="Arial" w:hAnsi="Arial"/>
          <w:sz w:val="18"/>
          <w:szCs w:val="18"/>
          <w:i w:val="1"/>
          <w:iCs w:val="1"/>
          <w:color w:val="auto"/>
        </w:rPr>
        <w:t>www.xtantmedical.com</w:t>
      </w:r>
      <w:r>
        <w:rPr>
          <w:rFonts w:ascii="Arial" w:cs="Arial" w:eastAsia="Arial" w:hAnsi="Arial"/>
          <w:sz w:val="18"/>
          <w:szCs w:val="18"/>
          <w:color w:val="auto"/>
        </w:rPr>
        <w:t>. Our website, and the information contained on that site, or connected to that site, are not intended to be part of this prospectus or any prospectus supplement.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prospectus is part of a registration statement on Form S-1 that we filed under the Securities Act with the SEC. This prospectus, which constitutes a part of that registration statement, does not contain all of the information included in that registration statement and its accompanying exhibits and schedules. For further information with respect to our shares of common stock and us you should refer to that registration statement and its accompanying exhibits and schedules.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SEC allows us to “incorporate by reference” certain information into this prospectus, which means that we can disclose important information about us by referring you to another document filed separately with the SEC. The information incorporated by reference is considered to be a part of this prospectus. Because we are incorporating by reference future filings with the SEC, this prospectus is continually updated and those future filings may modify or supersede some of the information included or incorporated in this prospectus. This means that you must carefully review all of the SEC filings that we incorporate by reference to determine if any of the statements in this prospectus or in any document previously incorporated by reference have been modified or superseded. However, we undertake no obligation to update or revise any statements we make, except as required by law.</w:t>
      </w:r>
    </w:p>
    <w:p>
      <w:pPr>
        <w:spacing w:after="0" w:line="16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This prospectus incorporates by reference the documents listed below (File No. 001-34951) and any future filings we make with the SEC under Sections 13(a), 13(c), 14 or 15(d) of the Exchange Act (in each case, other than those documents or the portions of those documents not deemed to be filed) until the offering of the securities under the registration statement is terminated or completed:</w:t>
      </w:r>
    </w:p>
    <w:p>
      <w:pPr>
        <w:spacing w:after="0" w:line="181" w:lineRule="exact"/>
        <w:rPr>
          <w:sz w:val="20"/>
          <w:szCs w:val="20"/>
          <w:color w:val="auto"/>
        </w:rPr>
      </w:pPr>
    </w:p>
    <w:p>
      <w:pPr>
        <w:ind w:left="980" w:right="1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April 2, 2018 and as amended on a Form 10-K/A filed with the SEC on April 5, 2018;</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with the SEC on May 8, 2018;</w:t>
      </w:r>
    </w:p>
    <w:p>
      <w:pPr>
        <w:spacing w:after="0" w:line="225"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current reports on Form 8-K (other than portions thereof furnished under Item 2.02 or Item 7.01 of Form 8-K and exhibits accompanying such reports that are related to such items) filed with the SEC on January 2, 2018, January 12, 2018, January 23, 2018, January 31, 2018, February 13, 2018, February 15, 2018 and February 16, 2018;</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documents filed by us with the SEC pursuant to Sections 13(a), 13(c), 14 or 15(d) of the Exchange Act after the date of the initial filing of the registration statement of which this prospectus is a part and prior to the effectiveness of such registration statement; and</w:t>
      </w:r>
    </w:p>
    <w:p>
      <w:pPr>
        <w:spacing w:after="0" w:line="146"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documents filed by us with the SEC pursuant to Sections 13(a), 13(c), 14 or 15(d) of the Exchange Act on or after the date of this prospectus and before we stop offering the securities under this prospectus.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prospectus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in writing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Xtant Medical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664 Cruiser Lane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Belgrade, Montana 59714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(406) 388-0480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SECURITIES ACT LIABILITY</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the registrant has been informed that in the opinion of the SEC such indemnification is against public policy as expressed in the Securities Act and is, therefore, unenforceable.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9"/>
          <w:szCs w:val="19"/>
          <w:b w:val="1"/>
          <w:bCs w:val="1"/>
          <w:color w:val="auto"/>
        </w:rPr>
        <w:t>11,536,773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148590</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148590</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ind w:right="2619"/>
        <w:spacing w:after="0"/>
        <w:rPr>
          <w:sz w:val="20"/>
          <w:szCs w:val="20"/>
          <w:color w:val="auto"/>
        </w:rPr>
      </w:pPr>
      <w:r>
        <w:rPr>
          <w:rFonts w:ascii="Arial" w:cs="Arial" w:eastAsia="Arial" w:hAnsi="Arial"/>
          <w:sz w:val="22"/>
          <w:szCs w:val="22"/>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440055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the costs and expenses payable by us in connection with the registration of the resale of the shares of common stock being registered hereby. All such expenses are estimated except for the SEC registration fee.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9,523</w:t>
            </w: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40" w:type="dxa"/>
            <w:vAlign w:val="bottom"/>
            <w:tcBorders>
              <w:top w:val="single" w:sz="8" w:color="CCEEFF"/>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2"/>
          </w:tcPr>
          <w:p>
            <w:pPr>
              <w:spacing w:after="0"/>
              <w:rPr>
                <w:sz w:val="17"/>
                <w:szCs w:val="17"/>
                <w:color w:val="auto"/>
              </w:rPr>
            </w:pPr>
          </w:p>
        </w:tc>
        <w:tc>
          <w:tcPr>
            <w:tcW w:w="6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9"/>
        </w:trPr>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20" w:type="dxa"/>
            <w:vAlign w:val="bottom"/>
            <w:gridSpan w:val="3"/>
          </w:tcPr>
          <w:p>
            <w:pPr>
              <w:ind w:left="280"/>
              <w:spacing w:after="0"/>
              <w:rPr>
                <w:sz w:val="20"/>
                <w:szCs w:val="20"/>
                <w:color w:val="auto"/>
              </w:rPr>
            </w:pPr>
            <w:r>
              <w:rPr>
                <w:rFonts w:ascii="Arial" w:cs="Arial" w:eastAsia="Arial" w:hAnsi="Arial"/>
                <w:sz w:val="18"/>
                <w:szCs w:val="18"/>
                <w:color w:val="auto"/>
              </w:rPr>
              <w:t>None of the expenses listed above will be borne by the selling stockholders.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General Corporation Law</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145(a) of the General Corporation Law of the State of Delaware,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8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ind w:right="80" w:firstLine="648"/>
        <w:spacing w:after="0" w:line="259" w:lineRule="auto"/>
        <w:rPr>
          <w:sz w:val="20"/>
          <w:szCs w:val="20"/>
          <w:color w:val="auto"/>
        </w:rPr>
      </w:pPr>
      <w:r>
        <w:rPr>
          <w:rFonts w:ascii="Arial" w:cs="Arial" w:eastAsia="Arial" w:hAnsi="Arial"/>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8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adopted provisions in our Amended and Restated Certificate of Incorporation that limit director liability to the maximum extent permitted under the DGCL.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Second Amended and Restated Bylaws provide for the indemnification of directors and officers to the fullest extent permitted by applicable law.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have entered into agreements with our directors and executive officers that require us to indemnify them against certain liabilities that may arise by reason of their status or service as directors or executive officers to the fullest extent not prohibited by Delaware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Policies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purchased an insurance policy that purports to insure our directors and officers against certain liabilities incurred by them in the discharge of their functions as directors and officers.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5" w:name="page36"/>
    <w:bookmarkEnd w:id="35"/>
    <w:p>
      <w:pPr>
        <w:ind w:firstLine="648"/>
        <w:spacing w:after="0" w:line="277" w:lineRule="auto"/>
        <w:rPr>
          <w:sz w:val="20"/>
          <w:szCs w:val="20"/>
          <w:color w:val="auto"/>
        </w:rPr>
      </w:pPr>
      <w:r>
        <w:rPr>
          <w:rFonts w:ascii="Arial" w:cs="Arial" w:eastAsia="Arial" w:hAnsi="Arial"/>
          <w:sz w:val="18"/>
          <w:szCs w:val="18"/>
          <w:color w:val="auto"/>
        </w:rPr>
        <w:t>The foregoing description of our Amended and Restated Certificate of Incorporation, Second Amended and Restated Bylaws, and Section 145 of the DGCL is only a summary and is qualified in its entirety by the full text of each of the foregoing.</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We have been advised that it is the position of the SEC that insofar as the foregoing provisions may be invoked to disclaim liability for damages arising under the Securities Act, that such provisions are against public policy as expressed in the Securities Act and are therefore unenforceable.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During the past three years, we issued unregistered securities as outlined below. Unless otherwise specifically noted, no commissions were paid in connection with the issuances described below and each issuance was effected pursuant to Section 4(a)(2) of the Securities Act, as a transaction by an issuer not involving any public offering.</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April 17, 2015, we entered into an Amended and Restated Common Stock Purchase Agreement (Purchase Agreement) with Aspire Capital Fund, LLC (Aspire Capital), which provided that, upon the terms and subject to the conditions and limitations set forth therein, Aspire Capital was committed to purchase up to an aggregate of $10.0 million of shares of our common stock (Purchase Shares) over the 24-month term of the Purchase Agreement. Pursuant to the terms of the Purchase Agreement, we issued 207,182 shares of our common stock (17,265 shares, taking into account the 1-for-12 reverse stock split) (Initial Purchase Shares) to Aspire Capital for $750,000 in aggregate proceeds. We also issued 154,189 shares of our common stock (12,849 shares, taking into account the 1-for-12 reverse stock split) to Aspire Capital as a commitment fee (Commitment Shares). Subsequent to the issuance of the Initial Purchase Shares and the Commitment Shares, pursuant to the Purchase Agreement, we issued 417,000 shares of our common stock (12,849 shares, taking into account the 1-for-12 reverse stock split) to Aspire Capital for $1,387,439 in aggregate proceeds. The Purchase Agreement expired in accordance with its terms on April 17, 2017.</w:t>
      </w:r>
    </w:p>
    <w:p>
      <w:pPr>
        <w:spacing w:after="0" w:line="18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July 31, 2015, in connection with our acquisition of X-spine, we issued 4,242,655 shares of our common stock (353,554 shares, taking into account the 1-for-12 reverse stock split) at an assumed value of $4.00 ($48.00, taking into account 1-for-12 reverse stock split) per share to the owners of the issued and outstanding shares of X-spine’s capital stock.</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Also on July 31, 2015, we issued 6.00% convertible senior unsecured notes due 2021 to qualified institutional buyers for an aggregate principal amount of $65 million, and on August 10, 2015, we issued additional Notes in the aggregate principal amount of $3 million pursuant to the initial purchaser’s partial exercise of its overallotment option.</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September 4, 2015, we issued 140,053 shares of our common stock (11,671 shares, taking into account the 1-for-12 reverse stock split) to certain directors for aggregate proceeds of $515,395.</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On April 14, 2016, we issued in a private placement to the purchasers an aggregate principal amount of approximately $2.2 million of 6.00% convertible senior promissory notes due 2021.</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November 17, 2016, we closed a rights offering, pursuant to which we sold an aggregate of 5,055,345 units, consisting of a total of 5,055,345 shares of common stock and 5,055,345 warrants (421,278 units, consisting of a total of 421,278 shares of common stock and 421,278 warrants taking into account the 1-for-12 reverse stock split), with each warrant exercisable to purchase one share of common stock at an exercise price of $0.90 ($10.80, taking into account the 1-for-12 reverse stock split) for five years from the date of issuance. The subscription price was $0.75 per unit, with gross proceeds of approximately $3.8 million.</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Effective January 17, 2017, we issued in a private placement to ROS and Royalty Opportunities an aggregate principal amount of approximately $1.6 million of 6.00% convertible senior unsecured promissory notes due in 2021. On January 17, 2018, ROS and Royalty Opportunities converted the aggregate principal amount of such notes, plus accrued and unpaid interest, into 2,275,745 shares of our common stock (189,645 shares, taking into account the 1-for-12 reverse stock split).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6" w:name="page37"/>
    <w:bookmarkEnd w:id="36"/>
    <w:p>
      <w:pPr>
        <w:ind w:right="640" w:firstLine="648"/>
        <w:spacing w:after="0" w:line="277" w:lineRule="auto"/>
        <w:rPr>
          <w:sz w:val="20"/>
          <w:szCs w:val="20"/>
          <w:color w:val="auto"/>
        </w:rPr>
      </w:pPr>
      <w:r>
        <w:rPr>
          <w:rFonts w:ascii="Arial" w:cs="Arial" w:eastAsia="Arial" w:hAnsi="Arial"/>
          <w:sz w:val="18"/>
          <w:szCs w:val="18"/>
          <w:color w:val="auto"/>
        </w:rPr>
        <w:t>On February 14, 2018, the $70.238 million aggregate principal amount of the notes referenced above, plus accrued and unpaid interest, were exchanged for approximately 10.4 million newly-issued shares of our common stock.</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Also on February 14, 2018, we entered into a Securities Purchase Agreement with ROS and Royalty Opportunities pursuant to which ROS and Royalty Opportunities purchased from us a total of 945,819 shares of our common stock at a price of $7.20 per share, for aggregate proceeds of $6,809,896, with ROS purchasing 603,687 of such shares and Royalty Opportunities purchasing 342,132 of such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Exhibit</w:t>
            </w:r>
          </w:p>
        </w:tc>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No.</w:t>
            </w:r>
          </w:p>
        </w:tc>
        <w:tc>
          <w:tcPr>
            <w:tcW w:w="1280" w:type="dxa"/>
            <w:vAlign w:val="bottom"/>
          </w:tcPr>
          <w:p>
            <w:pPr>
              <w:spacing w:after="0"/>
              <w:rPr>
                <w:sz w:val="20"/>
                <w:szCs w:val="20"/>
                <w:color w:val="auto"/>
              </w:rPr>
            </w:pPr>
          </w:p>
        </w:tc>
        <w:tc>
          <w:tcPr>
            <w:tcW w:w="8760" w:type="dxa"/>
            <w:vAlign w:val="bottom"/>
            <w:gridSpan w:val="14"/>
          </w:tcPr>
          <w:p>
            <w:pPr>
              <w:ind w:left="33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Borders>
              <w:top w:val="single" w:sz="8" w:color="auto"/>
            </w:tcBorders>
          </w:tcPr>
          <w:p>
            <w:pPr>
              <w:jc w:val="right"/>
              <w:spacing w:after="0"/>
              <w:rPr>
                <w:rFonts w:ascii="Arial" w:cs="Arial" w:eastAsia="Arial" w:hAnsi="Arial"/>
                <w:sz w:val="18"/>
                <w:szCs w:val="18"/>
                <w:color w:val="0000EE"/>
                <w:w w:val="87"/>
              </w:rPr>
            </w:pPr>
            <w:hyperlink r:id="rId59">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top w:val="single" w:sz="8" w:color="auto"/>
            </w:tcBorders>
            <w:gridSpan w:val="15"/>
          </w:tcPr>
          <w:p>
            <w:pPr>
              <w:spacing w:after="0"/>
              <w:rPr>
                <w:rFonts w:ascii="Arial" w:cs="Arial" w:eastAsia="Arial" w:hAnsi="Arial"/>
                <w:sz w:val="18"/>
                <w:szCs w:val="18"/>
                <w:color w:val="0000EE"/>
                <w:w w:val="93"/>
              </w:rPr>
            </w:pPr>
            <w:hyperlink r:id="rId59">
              <w:r>
                <w:rPr>
                  <w:rFonts w:ascii="Arial" w:cs="Arial" w:eastAsia="Arial" w:hAnsi="Arial"/>
                  <w:sz w:val="18"/>
                  <w:szCs w:val="18"/>
                  <w:color w:val="0000EE"/>
                  <w:w w:val="93"/>
                </w:rPr>
                <w:t>Agreement and Plan of Merger, dated as of June 30, 2010, by and among K-Kitz, Inc., KB Merger Sub, Inc. and Bacterin International,</w:t>
              </w:r>
            </w:hyperlink>
          </w:p>
        </w:tc>
      </w:tr>
      <w:tr>
        <w:trPr>
          <w:trHeight w:val="196"/>
        </w:trPr>
        <w:tc>
          <w:tcPr>
            <w:tcW w:w="24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Inc. (filed as Exhibit 2.1 to Form 8-K filed June 30, 2010 and incorporated by reference herein).</w:t>
              </w:r>
            </w:hyperlink>
          </w:p>
        </w:tc>
        <w:tc>
          <w:tcPr>
            <w:tcW w:w="300" w:type="dxa"/>
            <w:vAlign w:val="bottom"/>
            <w:gridSpan w:val="6"/>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r:id="rId6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Common Stock Purchase Agreement dated March 16, 2015 by and between Bacterin and Aspire Capital Fund, LLC (filed as Exhibit 10.1</w:t>
              </w:r>
            </w:hyperlink>
          </w:p>
        </w:tc>
      </w:tr>
      <w:tr>
        <w:trPr>
          <w:trHeight w:val="196"/>
        </w:trPr>
        <w:tc>
          <w:tcPr>
            <w:tcW w:w="24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to Form 8-K filed March 17, 2015 and incorporated by reference herein).</w:t>
              </w:r>
            </w:hyperlink>
          </w:p>
        </w:tc>
        <w:tc>
          <w:tcPr>
            <w:tcW w:w="120" w:type="dxa"/>
            <w:vAlign w:val="bottom"/>
            <w:gridSpan w:val="3"/>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r:id="rId61">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Amended and Restated Common Stock Purchase Agreement dated April 17, 2015 by and between Bacterin and Aspire Capital Fund, LLC</w:t>
              </w:r>
            </w:hyperlink>
          </w:p>
        </w:tc>
      </w:tr>
      <w:tr>
        <w:trPr>
          <w:trHeight w:val="196"/>
        </w:trPr>
        <w:tc>
          <w:tcPr>
            <w:tcW w:w="24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(filed as Exhibit 10.23 to Form S-1 filed April 17, 2015 and incorporated by reference herein).</w:t>
              </w:r>
            </w:hyperlink>
          </w:p>
        </w:tc>
        <w:tc>
          <w:tcPr>
            <w:tcW w:w="6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6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4</w:t>
              </w:r>
            </w:hyperlink>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tcBorders>
              <w:bottom w:val="single" w:sz="8" w:color="0000EE"/>
            </w:tcBorders>
            <w:gridSpan w:val="8"/>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Stock Purchase Agreement dated July 27, 2015 by and among Bacterin, X-spine Systems, Inc. and the sellers named therein (filed as</w:t>
              </w:r>
            </w:hyperlink>
          </w:p>
        </w:tc>
        <w:tc>
          <w:tcPr>
            <w:tcW w:w="500" w:type="dxa"/>
            <w:vAlign w:val="bottom"/>
            <w:gridSpan w:val="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Exhibit 10.1 to Form 8-K filed July 28, 2015 and incorporated by reference herein).</w:t>
              </w:r>
            </w:hyperlink>
          </w:p>
        </w:tc>
        <w:tc>
          <w:tcPr>
            <w:tcW w:w="4000" w:type="dxa"/>
            <w:vAlign w:val="bottom"/>
            <w:gridSpan w:val="11"/>
          </w:tcPr>
          <w:p>
            <w:pPr>
              <w:spacing w:after="0"/>
              <w:rPr>
                <w:sz w:val="17"/>
                <w:szCs w:val="17"/>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6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tcBorders>
              <w:bottom w:val="single" w:sz="8" w:color="0000EE"/>
            </w:tcBorders>
            <w:gridSpan w:val="8"/>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Amended and Restated Certificate of Incorporation (filed as Exhibit 3.1 to Form 8-K filed on February 13, 2018 and incorporated by</w:t>
              </w:r>
            </w:hyperlink>
          </w:p>
        </w:tc>
        <w:tc>
          <w:tcPr>
            <w:tcW w:w="500" w:type="dxa"/>
            <w:vAlign w:val="bottom"/>
            <w:gridSpan w:val="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63">
              <w:r>
                <w:rPr>
                  <w:rFonts w:ascii="Arial" w:cs="Arial" w:eastAsia="Arial" w:hAnsi="Arial"/>
                  <w:sz w:val="18"/>
                  <w:szCs w:val="18"/>
                  <w:color w:val="0000EE"/>
                  <w:w w:val="88"/>
                </w:rPr>
                <w:t>reference herein).</w:t>
              </w:r>
            </w:hyperlink>
          </w:p>
        </w:tc>
        <w:tc>
          <w:tcPr>
            <w:tcW w:w="8760" w:type="dxa"/>
            <w:vAlign w:val="bottom"/>
            <w:gridSpan w:val="14"/>
          </w:tcPr>
          <w:p>
            <w:pPr>
              <w:spacing w:after="0"/>
              <w:rPr>
                <w:sz w:val="17"/>
                <w:szCs w:val="17"/>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6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tcBorders>
              <w:bottom w:val="single" w:sz="8" w:color="0000EE"/>
            </w:tcBorders>
            <w:gridSpan w:val="10"/>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Second Amended and Restated Bylaws (filed as Exhibit 3.1 to Form 8-K filed February 16, 2018 and incorporated by reference herein).</w:t>
              </w:r>
            </w:hyperlink>
          </w:p>
        </w:tc>
        <w:tc>
          <w:tcPr>
            <w:tcW w:w="240" w:type="dxa"/>
            <w:vAlign w:val="bottom"/>
            <w:gridSpan w:val="5"/>
          </w:tcPr>
          <w:p>
            <w:pPr>
              <w:spacing w:after="0"/>
              <w:rPr>
                <w:sz w:val="24"/>
                <w:szCs w:val="24"/>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95"/>
              </w:rPr>
            </w:pPr>
            <w:hyperlink r:id="rId65">
              <w:r>
                <w:rPr>
                  <w:rFonts w:ascii="Arial" w:cs="Arial" w:eastAsia="Arial" w:hAnsi="Arial"/>
                  <w:sz w:val="18"/>
                  <w:szCs w:val="18"/>
                  <w:color w:val="0000EE"/>
                  <w:w w:val="95"/>
                </w:rPr>
                <w:t>Form of Common Stock Certificate (filed as Exhibit 4.2 to Form S-1 filed December 21, 2015 and incorporated by reference herein).</w:t>
              </w:r>
            </w:hyperlink>
          </w:p>
        </w:tc>
      </w:tr>
      <w:tr>
        <w:trPr>
          <w:trHeight w:val="20"/>
        </w:trPr>
        <w:tc>
          <w:tcPr>
            <w:tcW w:w="2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80" w:type="dxa"/>
            <w:vAlign w:val="bottom"/>
            <w:gridSpan w:val="2"/>
            <w:shd w:val="clear" w:color="auto" w:fill="0000EE"/>
          </w:tcPr>
          <w:p>
            <w:pPr>
              <w:spacing w:after="0" w:line="20" w:lineRule="exact"/>
              <w:rPr>
                <w:sz w:val="1"/>
                <w:szCs w:val="1"/>
                <w:color w:val="auto"/>
              </w:rPr>
            </w:pPr>
          </w:p>
        </w:tc>
        <w:tc>
          <w:tcPr>
            <w:tcW w:w="420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Registration Rights Agreement dated March 16, 2015 by and between Bacterin and Aspire Capital Fund, LLC (filed as Exhibit 4.1 to Form</w:t>
              </w:r>
            </w:hyperlink>
          </w:p>
        </w:tc>
      </w:tr>
      <w:tr>
        <w:trPr>
          <w:trHeight w:val="196"/>
        </w:trPr>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8-K filed on March 17, 2015 and incorporated by reference herein).</w:t>
              </w:r>
            </w:hyperlink>
          </w:p>
        </w:tc>
        <w:tc>
          <w:tcPr>
            <w:tcW w:w="5160" w:type="dxa"/>
            <w:vAlign w:val="bottom"/>
            <w:gridSpan w:val="13"/>
          </w:tcPr>
          <w:p>
            <w:pPr>
              <w:spacing w:after="0"/>
              <w:rPr>
                <w:sz w:val="17"/>
                <w:szCs w:val="17"/>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6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tcBorders>
              <w:bottom w:val="single" w:sz="8" w:color="0000EE"/>
            </w:tcBorders>
            <w:gridSpan w:val="13"/>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Registration Rights Agreement dated July 31, 2015 by and among Bacterin, Leerink Partners LLC, OrbiMed Royalty Opportunities II, LP</w:t>
              </w:r>
            </w:hyperlink>
          </w:p>
        </w:tc>
        <w:tc>
          <w:tcPr>
            <w:tcW w:w="8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w w:val="96"/>
              </w:rPr>
            </w:pPr>
            <w:hyperlink r:id="rId67">
              <w:r>
                <w:rPr>
                  <w:rFonts w:ascii="Arial" w:cs="Arial" w:eastAsia="Arial" w:hAnsi="Arial"/>
                  <w:sz w:val="18"/>
                  <w:szCs w:val="18"/>
                  <w:color w:val="0000EE"/>
                  <w:w w:val="96"/>
                </w:rPr>
                <w:t>and ROS Acquisition Offshore LP (filed as Exhibit 10.3 to Form 8-K filed on August 3, 2015 and incorporated by reference herein).</w:t>
              </w:r>
            </w:hyperlink>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94"/>
              </w:rPr>
            </w:pPr>
            <w:hyperlink r:id="rId68">
              <w:r>
                <w:rPr>
                  <w:rFonts w:ascii="Arial" w:cs="Arial" w:eastAsia="Arial" w:hAnsi="Arial"/>
                  <w:sz w:val="18"/>
                  <w:szCs w:val="18"/>
                  <w:color w:val="0000EE"/>
                  <w:w w:val="94"/>
                </w:rPr>
                <w:t>Registration Rights Agreement, dated April 14, 2016, among Xtant Medical Holdings, Inc., ROS Acquisition Offshore LP and OrbiMed</w:t>
              </w:r>
            </w:hyperlink>
          </w:p>
        </w:tc>
      </w:tr>
      <w:tr>
        <w:trPr>
          <w:trHeight w:val="196"/>
        </w:trPr>
        <w:tc>
          <w:tcPr>
            <w:tcW w:w="24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Royalty Opportunities II, LP (filed as Exhibit 10.4 to Form 8-K filed on April 19, 2016 and incorporated by reference herein).</w:t>
              </w:r>
            </w:hyperlink>
          </w:p>
        </w:tc>
        <w:tc>
          <w:tcPr>
            <w:tcW w:w="220" w:type="dxa"/>
            <w:vAlign w:val="bottom"/>
            <w:gridSpan w:val="4"/>
          </w:tcPr>
          <w:p>
            <w:pPr>
              <w:spacing w:after="0"/>
              <w:rPr>
                <w:sz w:val="17"/>
                <w:szCs w:val="17"/>
                <w:color w:val="auto"/>
              </w:rPr>
            </w:pPr>
          </w:p>
        </w:tc>
      </w:tr>
      <w:tr>
        <w:trPr>
          <w:trHeight w:val="696"/>
        </w:trPr>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80" w:type="dxa"/>
            <w:vAlign w:val="bottom"/>
            <w:tcBorders>
              <w:top w:val="single" w:sz="8" w:color="0000EE"/>
              <w:bottom w:val="single" w:sz="8" w:color="auto"/>
            </w:tcBorders>
            <w:gridSpan w:val="2"/>
          </w:tcPr>
          <w:p>
            <w:pPr>
              <w:ind w:left="4260"/>
              <w:spacing w:after="0"/>
              <w:rPr>
                <w:sz w:val="20"/>
                <w:szCs w:val="20"/>
                <w:color w:val="auto"/>
              </w:rPr>
            </w:pPr>
            <w:r>
              <w:rPr>
                <w:rFonts w:ascii="Arial" w:cs="Arial" w:eastAsia="Arial" w:hAnsi="Arial"/>
                <w:sz w:val="18"/>
                <w:szCs w:val="18"/>
                <w:color w:val="auto"/>
              </w:rPr>
              <w:t>30</w:t>
            </w:r>
          </w:p>
        </w:tc>
        <w:tc>
          <w:tcPr>
            <w:tcW w:w="3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16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6"/>
              </w:rPr>
              <w:t>No.</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gridSpan w:val="23"/>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tcBorders>
              <w:top w:val="single" w:sz="8" w:color="auto"/>
              <w:bottom w:val="single" w:sz="8" w:color="0000EE"/>
            </w:tcBorders>
            <w:gridSpan w:val="11"/>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Registration Rights Agreement (for Common Stock underlying the Indenture Notes), dated January 17, 2017, among Xtant Medical</w:t>
              </w:r>
            </w:hyperlink>
          </w:p>
        </w:tc>
        <w:tc>
          <w:tcPr>
            <w:tcW w:w="540" w:type="dxa"/>
            <w:vAlign w:val="bottom"/>
            <w:tcBorders>
              <w:top w:val="single" w:sz="8" w:color="auto"/>
            </w:tcBorders>
            <w:gridSpan w:val="1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8"/>
          </w:tcPr>
          <w:p>
            <w:pPr>
              <w:spacing w:after="0" w:line="196" w:lineRule="exact"/>
              <w:rPr>
                <w:rFonts w:ascii="Arial" w:cs="Arial" w:eastAsia="Arial" w:hAnsi="Arial"/>
                <w:sz w:val="18"/>
                <w:szCs w:val="18"/>
                <w:color w:val="0000EE"/>
                <w:w w:val="98"/>
              </w:rPr>
            </w:pPr>
            <w:hyperlink r:id="rId69">
              <w:r>
                <w:rPr>
                  <w:rFonts w:ascii="Arial" w:cs="Arial" w:eastAsia="Arial" w:hAnsi="Arial"/>
                  <w:sz w:val="18"/>
                  <w:szCs w:val="18"/>
                  <w:color w:val="0000EE"/>
                  <w:w w:val="98"/>
                </w:rPr>
                <w:t>Holdings, Inc., ROS Acquisition Offshore LP and OrbiMed Royalty Opportunities II, LP (filed as Exhibit 10.9 to Form 8-K filed on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January 20, 2017 and incorporated by reference herein).</w:t>
              </w:r>
            </w:hyperlink>
          </w:p>
        </w:tc>
        <w:tc>
          <w:tcPr>
            <w:tcW w:w="5480" w:type="dxa"/>
            <w:vAlign w:val="bottom"/>
            <w:tcBorders>
              <w:top w:val="single" w:sz="8" w:color="0000EE"/>
            </w:tcBorders>
            <w:gridSpan w:val="8"/>
          </w:tcPr>
          <w:p>
            <w:pPr>
              <w:spacing w:after="0"/>
              <w:rPr>
                <w:sz w:val="17"/>
                <w:szCs w:val="17"/>
                <w:color w:val="auto"/>
              </w:rPr>
            </w:pPr>
          </w:p>
        </w:tc>
        <w:tc>
          <w:tcPr>
            <w:tcW w:w="520" w:type="dxa"/>
            <w:vAlign w:val="bottom"/>
            <w:gridSpan w:val="16"/>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8"/>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Registration Rights Agreement (for Common Stock underlying the PIK Notes), dated January 17, 2017, among Xtant Medical Holdings,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Inc., ROS Acquisition Offshore LP and OrbiMed Royalty Opportunities II, LP (filed as Exhibit 10.13 to Form 8-K filed on January 20,</w:t>
              </w:r>
            </w:hyperlink>
          </w:p>
        </w:tc>
        <w:tc>
          <w:tcPr>
            <w:tcW w:w="80" w:type="dxa"/>
            <w:vAlign w:val="bottom"/>
            <w:tcBorders>
              <w:top w:val="single" w:sz="8" w:color="0000EE"/>
            </w:tcBorders>
            <w:gridSpan w:val="3"/>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8"/>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2017 and incorporated by reference herein).</w:t>
              </w:r>
            </w:hyperlink>
          </w:p>
        </w:tc>
      </w:tr>
      <w:tr>
        <w:trPr>
          <w:trHeight w:val="20"/>
        </w:trPr>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20" w:type="dxa"/>
            <w:vAlign w:val="bottom"/>
            <w:tcBorders>
              <w:bottom w:val="single" w:sz="8" w:color="0000EE"/>
            </w:tcBorders>
            <w:gridSpan w:val="14"/>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Investor Rights Agreement (for Common Stock issued upon the exchange of the Notes and pursuant to the Private Placement) among</w:t>
              </w:r>
            </w:hyperlink>
          </w:p>
        </w:tc>
        <w:tc>
          <w:tcPr>
            <w:tcW w:w="420" w:type="dxa"/>
            <w:vAlign w:val="bottom"/>
            <w:gridSpan w:val="1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8"/>
          </w:tcPr>
          <w:p>
            <w:pPr>
              <w:spacing w:after="0" w:line="196" w:lineRule="exact"/>
              <w:rPr>
                <w:rFonts w:ascii="Arial" w:cs="Arial" w:eastAsia="Arial" w:hAnsi="Arial"/>
                <w:sz w:val="18"/>
                <w:szCs w:val="18"/>
                <w:color w:val="0000EE"/>
                <w:w w:val="96"/>
              </w:rPr>
            </w:pPr>
            <w:hyperlink r:id="rId71">
              <w:r>
                <w:rPr>
                  <w:rFonts w:ascii="Arial" w:cs="Arial" w:eastAsia="Arial" w:hAnsi="Arial"/>
                  <w:sz w:val="18"/>
                  <w:szCs w:val="18"/>
                  <w:color w:val="0000EE"/>
                  <w:w w:val="96"/>
                </w:rPr>
                <w:t>Xtant Medical Holdings, Inc., OrbiMed Royalty Opportunities II, LP, ROS Acquisition Offshore LP, Park West Partners International,</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Limited and Park West Investors Master Fun, Limited (filed as Exhibit 10.3 to Form 8-K filed on February 16, 2018 and incorporated by</w:t>
              </w:r>
            </w:hyperlink>
          </w:p>
        </w:tc>
        <w:tc>
          <w:tcPr>
            <w:tcW w:w="160" w:type="dxa"/>
            <w:vAlign w:val="bottom"/>
            <w:gridSpan w:val="3"/>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reference herein).</w:t>
              </w:r>
            </w:hyperlink>
          </w:p>
        </w:tc>
        <w:tc>
          <w:tcPr>
            <w:tcW w:w="8720" w:type="dxa"/>
            <w:vAlign w:val="bottom"/>
            <w:gridSpan w:val="26"/>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8"/>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Registration Rights Agreement (for Common Stock issued upon the exchange of the Notes and pursuant to the Private Placement) among</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Xtant Medical Holdings, Inc., OrbiMed Royalty Opportunities II, LP, ROS Acquisition Offshore LP, Telemetry Securities, L.L.C., Bruce</w:t>
              </w:r>
            </w:hyperlink>
          </w:p>
        </w:tc>
        <w:tc>
          <w:tcPr>
            <w:tcW w:w="4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8"/>
          </w:tcPr>
          <w:p>
            <w:pPr>
              <w:spacing w:after="0" w:line="196" w:lineRule="exact"/>
              <w:rPr>
                <w:rFonts w:ascii="Arial" w:cs="Arial" w:eastAsia="Arial" w:hAnsi="Arial"/>
                <w:sz w:val="18"/>
                <w:szCs w:val="18"/>
                <w:color w:val="0000EE"/>
                <w:w w:val="94"/>
              </w:rPr>
            </w:pPr>
            <w:hyperlink r:id="rId72">
              <w:r>
                <w:rPr>
                  <w:rFonts w:ascii="Arial" w:cs="Arial" w:eastAsia="Arial" w:hAnsi="Arial"/>
                  <w:sz w:val="18"/>
                  <w:szCs w:val="18"/>
                  <w:color w:val="0000EE"/>
                  <w:w w:val="94"/>
                </w:rPr>
                <w:t>Fund, Inc., Park West Investors Master Fun, Limited, and Park West Partners International, Limited (filed as Exhibit 10.4 to Form 8-K</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filed on February 16, 2018 and incorporated by reference herein).</w:t>
              </w:r>
            </w:hyperlink>
          </w:p>
        </w:tc>
        <w:tc>
          <w:tcPr>
            <w:tcW w:w="4900" w:type="dxa"/>
            <w:vAlign w:val="bottom"/>
            <w:tcBorders>
              <w:top w:val="single" w:sz="8" w:color="0000EE"/>
            </w:tcBorders>
            <w:gridSpan w:val="10"/>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8"/>
          </w:tcPr>
          <w:p>
            <w:pPr>
              <w:spacing w:after="0"/>
              <w:rPr>
                <w:rFonts w:ascii="Arial" w:cs="Arial" w:eastAsia="Arial" w:hAnsi="Arial"/>
                <w:sz w:val="18"/>
                <w:szCs w:val="18"/>
                <w:color w:val="0000EE"/>
                <w:w w:val="94"/>
              </w:rPr>
            </w:pPr>
            <w:hyperlink r:id="rId73">
              <w:r>
                <w:rPr>
                  <w:rFonts w:ascii="Arial" w:cs="Arial" w:eastAsia="Arial" w:hAnsi="Arial"/>
                  <w:sz w:val="18"/>
                  <w:szCs w:val="18"/>
                  <w:color w:val="0000EE"/>
                  <w:w w:val="94"/>
                </w:rPr>
                <w:t>Indenture dated July 31, 2015 by and between Bacterin and Wilmington Trust, National Association (filed as Exhibit 10.2 to Form 8-K</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filed on August 3, 2015 and incorporated by reference herein).</w:t>
              </w:r>
            </w:hyperlink>
          </w:p>
        </w:tc>
        <w:tc>
          <w:tcPr>
            <w:tcW w:w="320" w:type="dxa"/>
            <w:vAlign w:val="bottom"/>
            <w:gridSpan w:val="10"/>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74">
              <w:r>
                <w:rPr>
                  <w:rFonts w:ascii="Arial" w:cs="Arial" w:eastAsia="Arial" w:hAnsi="Arial"/>
                  <w:sz w:val="18"/>
                  <w:szCs w:val="18"/>
                  <w:color w:val="0000EE"/>
                </w:rPr>
                <w:t>4.</w:t>
              </w:r>
              <w:r>
                <w:rPr>
                  <w:rFonts w:ascii="Arial" w:cs="Arial" w:eastAsia="Arial" w:hAnsi="Arial"/>
                  <w:sz w:val="18"/>
                  <w:szCs w:val="18"/>
                  <w:u w:val="single" w:color="auto"/>
                  <w:color w:val="0000EE"/>
                </w:rPr>
                <w:t>10</w:t>
              </w:r>
            </w:hyperlink>
          </w:p>
        </w:tc>
        <w:tc>
          <w:tcPr>
            <w:tcW w:w="220" w:type="dxa"/>
            <w:vAlign w:val="bottom"/>
          </w:tcPr>
          <w:p>
            <w:pPr>
              <w:spacing w:after="0"/>
              <w:rPr>
                <w:sz w:val="24"/>
                <w:szCs w:val="24"/>
                <w:color w:val="auto"/>
              </w:rPr>
            </w:pPr>
          </w:p>
        </w:tc>
        <w:tc>
          <w:tcPr>
            <w:tcW w:w="10040" w:type="dxa"/>
            <w:vAlign w:val="bottom"/>
            <w:gridSpan w:val="28"/>
          </w:tcPr>
          <w:p>
            <w:pPr>
              <w:spacing w:after="0"/>
              <w:rPr>
                <w:rFonts w:ascii="Arial" w:cs="Arial" w:eastAsia="Arial" w:hAnsi="Arial"/>
                <w:sz w:val="18"/>
                <w:szCs w:val="18"/>
                <w:color w:val="0000EE"/>
                <w:w w:val="94"/>
              </w:rPr>
            </w:pPr>
            <w:hyperlink r:id="rId74">
              <w:r>
                <w:rPr>
                  <w:rFonts w:ascii="Arial" w:cs="Arial" w:eastAsia="Arial" w:hAnsi="Arial"/>
                  <w:sz w:val="18"/>
                  <w:szCs w:val="18"/>
                  <w:color w:val="0000EE"/>
                  <w:w w:val="94"/>
                </w:rPr>
                <w:t>Amendment Number 1 to Indenture, dated as of August 16, 2017, by and between Xtant Medical Holdings, Inc. and Wilmington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National Association (filed as Exhibit 10.2 to Form 8-K filed on August 17, 2017 and incorporated by reference herein).</w:t>
              </w:r>
            </w:hyperlink>
          </w:p>
        </w:tc>
        <w:tc>
          <w:tcPr>
            <w:tcW w:w="300" w:type="dxa"/>
            <w:vAlign w:val="bottom"/>
            <w:gridSpan w:val="9"/>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10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7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8"/>
          </w:tcPr>
          <w:p>
            <w:pPr>
              <w:spacing w:after="0"/>
              <w:rPr>
                <w:rFonts w:ascii="Arial" w:cs="Arial" w:eastAsia="Arial" w:hAnsi="Arial"/>
                <w:sz w:val="18"/>
                <w:szCs w:val="18"/>
                <w:color w:val="0000EE"/>
                <w:w w:val="94"/>
              </w:rPr>
            </w:pPr>
            <w:hyperlink r:id="rId75">
              <w:r>
                <w:rPr>
                  <w:rFonts w:ascii="Arial" w:cs="Arial" w:eastAsia="Arial" w:hAnsi="Arial"/>
                  <w:sz w:val="18"/>
                  <w:szCs w:val="18"/>
                  <w:color w:val="0000EE"/>
                  <w:w w:val="94"/>
                </w:rPr>
                <w:t>Amendment Number 2 to Indenture, dated as of October 2, 2017, by and between Xtant Medical Holdings, Inc. and Wilmington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National Association (filed as Exhibit 10.2 to Form 8-K filed on October 3, 2017 and incorporated by reference herein).</w:t>
              </w:r>
            </w:hyperlink>
          </w:p>
        </w:tc>
        <w:tc>
          <w:tcPr>
            <w:tcW w:w="1040" w:type="dxa"/>
            <w:vAlign w:val="bottom"/>
            <w:tcBorders>
              <w:top w:val="single" w:sz="8" w:color="0000EE"/>
            </w:tcBorders>
            <w:gridSpan w:val="10"/>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76">
              <w:r>
                <w:rPr>
                  <w:rFonts w:ascii="Arial" w:cs="Arial" w:eastAsia="Arial" w:hAnsi="Arial"/>
                  <w:sz w:val="18"/>
                  <w:szCs w:val="18"/>
                  <w:color w:val="0000EE"/>
                </w:rPr>
                <w:t>4.</w:t>
              </w:r>
              <w:r>
                <w:rPr>
                  <w:rFonts w:ascii="Arial" w:cs="Arial" w:eastAsia="Arial" w:hAnsi="Arial"/>
                  <w:sz w:val="18"/>
                  <w:szCs w:val="18"/>
                  <w:u w:val="single" w:color="auto"/>
                  <w:color w:val="0000EE"/>
                </w:rPr>
                <w:t>12</w:t>
              </w:r>
            </w:hyperlink>
          </w:p>
        </w:tc>
        <w:tc>
          <w:tcPr>
            <w:tcW w:w="220" w:type="dxa"/>
            <w:vAlign w:val="bottom"/>
          </w:tcPr>
          <w:p>
            <w:pPr>
              <w:spacing w:after="0"/>
              <w:rPr>
                <w:sz w:val="24"/>
                <w:szCs w:val="24"/>
                <w:color w:val="auto"/>
              </w:rPr>
            </w:pPr>
          </w:p>
        </w:tc>
        <w:tc>
          <w:tcPr>
            <w:tcW w:w="10040" w:type="dxa"/>
            <w:vAlign w:val="bottom"/>
            <w:gridSpan w:val="28"/>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Amendment Number 3 to Indenture, dated as of October 31, 2017, by and between Xtant Medical Holdings, Inc. and Wilmington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National Association (filed as Exhibit 10.2 to Form 8-K filed on October 31, 2017 and incorporated by reference herein).</w:t>
              </w:r>
            </w:hyperlink>
          </w:p>
        </w:tc>
        <w:tc>
          <w:tcPr>
            <w:tcW w:w="240" w:type="dxa"/>
            <w:vAlign w:val="bottom"/>
            <w:gridSpan w:val="6"/>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160" w:type="dxa"/>
            <w:vAlign w:val="bottom"/>
            <w:tcBorders>
              <w:right w:val="single" w:sz="8" w:color="0000EE"/>
            </w:tcBorders>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77">
              <w:r>
                <w:rPr>
                  <w:rFonts w:ascii="Arial" w:cs="Arial" w:eastAsia="Arial" w:hAnsi="Arial"/>
                  <w:sz w:val="18"/>
                  <w:szCs w:val="18"/>
                  <w:color w:val="0000EE"/>
                </w:rPr>
                <w:t>4.</w:t>
              </w:r>
              <w:r>
                <w:rPr>
                  <w:rFonts w:ascii="Arial" w:cs="Arial" w:eastAsia="Arial" w:hAnsi="Arial"/>
                  <w:sz w:val="18"/>
                  <w:szCs w:val="18"/>
                  <w:u w:val="single" w:color="auto"/>
                  <w:color w:val="0000EE"/>
                </w:rPr>
                <w:t>13</w:t>
              </w:r>
            </w:hyperlink>
          </w:p>
        </w:tc>
        <w:tc>
          <w:tcPr>
            <w:tcW w:w="220" w:type="dxa"/>
            <w:vAlign w:val="bottom"/>
          </w:tcPr>
          <w:p>
            <w:pPr>
              <w:spacing w:after="0"/>
              <w:rPr>
                <w:sz w:val="24"/>
                <w:szCs w:val="24"/>
                <w:color w:val="auto"/>
              </w:rPr>
            </w:pPr>
          </w:p>
        </w:tc>
        <w:tc>
          <w:tcPr>
            <w:tcW w:w="10040" w:type="dxa"/>
            <w:vAlign w:val="bottom"/>
            <w:gridSpan w:val="28"/>
          </w:tcPr>
          <w:p>
            <w:pPr>
              <w:spacing w:after="0"/>
              <w:rPr>
                <w:rFonts w:ascii="Arial" w:cs="Arial" w:eastAsia="Arial" w:hAnsi="Arial"/>
                <w:sz w:val="18"/>
                <w:szCs w:val="18"/>
                <w:color w:val="0000EE"/>
                <w:w w:val="97"/>
              </w:rPr>
            </w:pPr>
            <w:hyperlink r:id="rId77">
              <w:r>
                <w:rPr>
                  <w:rFonts w:ascii="Arial" w:cs="Arial" w:eastAsia="Arial" w:hAnsi="Arial"/>
                  <w:sz w:val="18"/>
                  <w:szCs w:val="18"/>
                  <w:color w:val="0000EE"/>
                  <w:w w:val="97"/>
                </w:rPr>
                <w:t>Amendment Number 4 and Waiver to Indenture, dated as of December 1, 2017, by and between Xtant Medical Holdings, Inc. and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160" w:type="dxa"/>
            <w:vAlign w:val="bottom"/>
            <w:tcBorders>
              <w:right w:val="single" w:sz="8" w:color="0000EE"/>
            </w:tcBorders>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8"/>
          </w:tcPr>
          <w:p>
            <w:pPr>
              <w:spacing w:after="0" w:line="196" w:lineRule="exact"/>
              <w:rPr>
                <w:rFonts w:ascii="Arial" w:cs="Arial" w:eastAsia="Arial" w:hAnsi="Arial"/>
                <w:sz w:val="18"/>
                <w:szCs w:val="18"/>
                <w:color w:val="0000EE"/>
                <w:w w:val="96"/>
              </w:rPr>
            </w:pPr>
            <w:hyperlink r:id="rId77">
              <w:r>
                <w:rPr>
                  <w:rFonts w:ascii="Arial" w:cs="Arial" w:eastAsia="Arial" w:hAnsi="Arial"/>
                  <w:sz w:val="18"/>
                  <w:szCs w:val="18"/>
                  <w:color w:val="0000EE"/>
                  <w:w w:val="96"/>
                </w:rPr>
                <w:t>Wilmington Trust, National Association (filed as Exhibit 10.2 to Form 8-K filed on December 4, 2017 and incorporated by reference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herein).</w:t>
              </w:r>
            </w:hyperlink>
          </w:p>
        </w:tc>
        <w:tc>
          <w:tcPr>
            <w:tcW w:w="480" w:type="dxa"/>
            <w:vAlign w:val="bottom"/>
            <w:gridSpan w:val="15"/>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78">
              <w:r>
                <w:rPr>
                  <w:rFonts w:ascii="Arial" w:cs="Arial" w:eastAsia="Arial" w:hAnsi="Arial"/>
                  <w:sz w:val="18"/>
                  <w:szCs w:val="18"/>
                  <w:color w:val="0000EE"/>
                </w:rPr>
                <w:t>4.</w:t>
              </w:r>
              <w:r>
                <w:rPr>
                  <w:rFonts w:ascii="Arial" w:cs="Arial" w:eastAsia="Arial" w:hAnsi="Arial"/>
                  <w:sz w:val="18"/>
                  <w:szCs w:val="18"/>
                  <w:u w:val="single" w:color="auto"/>
                  <w:color w:val="0000EE"/>
                </w:rPr>
                <w:t>14</w:t>
              </w:r>
            </w:hyperlink>
          </w:p>
        </w:tc>
        <w:tc>
          <w:tcPr>
            <w:tcW w:w="220" w:type="dxa"/>
            <w:vAlign w:val="bottom"/>
          </w:tcPr>
          <w:p>
            <w:pPr>
              <w:spacing w:after="0"/>
              <w:rPr>
                <w:sz w:val="24"/>
                <w:szCs w:val="24"/>
                <w:color w:val="auto"/>
              </w:rPr>
            </w:pPr>
          </w:p>
        </w:tc>
        <w:tc>
          <w:tcPr>
            <w:tcW w:w="10040" w:type="dxa"/>
            <w:vAlign w:val="bottom"/>
            <w:gridSpan w:val="28"/>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Amendment Number 5 to Indenture, dated as of December 29, 2017, by and between Xtant Medical Holdings, Inc. and Wilmington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National Association (filed as Exhibit 10.2 to Form 8-K filed on December 29, 2017 and incorporated by reference herein).</w:t>
              </w:r>
            </w:hyperlink>
          </w:p>
        </w:tc>
        <w:tc>
          <w:tcPr>
            <w:tcW w:w="80" w:type="dxa"/>
            <w:vAlign w:val="bottom"/>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2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79">
              <w:r>
                <w:rPr>
                  <w:rFonts w:ascii="Arial" w:cs="Arial" w:eastAsia="Arial" w:hAnsi="Arial"/>
                  <w:sz w:val="18"/>
                  <w:szCs w:val="18"/>
                  <w:color w:val="0000EE"/>
                </w:rPr>
                <w:t>4.</w:t>
              </w:r>
              <w:r>
                <w:rPr>
                  <w:rFonts w:ascii="Arial" w:cs="Arial" w:eastAsia="Arial" w:hAnsi="Arial"/>
                  <w:sz w:val="18"/>
                  <w:szCs w:val="18"/>
                  <w:u w:val="single" w:color="auto"/>
                  <w:color w:val="0000EE"/>
                </w:rPr>
                <w:t>15</w:t>
              </w:r>
            </w:hyperlink>
          </w:p>
        </w:tc>
        <w:tc>
          <w:tcPr>
            <w:tcW w:w="220" w:type="dxa"/>
            <w:vAlign w:val="bottom"/>
          </w:tcPr>
          <w:p>
            <w:pPr>
              <w:spacing w:after="0"/>
              <w:rPr>
                <w:sz w:val="24"/>
                <w:szCs w:val="24"/>
                <w:color w:val="auto"/>
              </w:rPr>
            </w:pPr>
          </w:p>
        </w:tc>
        <w:tc>
          <w:tcPr>
            <w:tcW w:w="10040" w:type="dxa"/>
            <w:vAlign w:val="bottom"/>
            <w:gridSpan w:val="28"/>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Amendment Number 6 to Indenture, dated as of January 30, 2018, by and between Xtant Medical Holdings, Inc. and Wilmington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National Association (filed as Exhibit 10.2 to Form 8-K filed on January 31, 2018 and incorporated by reference herein).</w:t>
              </w:r>
            </w:hyperlink>
          </w:p>
        </w:tc>
        <w:tc>
          <w:tcPr>
            <w:tcW w:w="260" w:type="dxa"/>
            <w:vAlign w:val="bottom"/>
            <w:gridSpan w:val="7"/>
          </w:tcPr>
          <w:p>
            <w:pPr>
              <w:spacing w:after="0"/>
              <w:rPr>
                <w:sz w:val="17"/>
                <w:szCs w:val="17"/>
                <w:color w:val="auto"/>
              </w:rPr>
            </w:pPr>
          </w:p>
        </w:tc>
      </w:tr>
      <w:tr>
        <w:trPr>
          <w:trHeight w:val="69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00" w:type="dxa"/>
            <w:vAlign w:val="bottom"/>
            <w:tcBorders>
              <w:top w:val="single" w:sz="8" w:color="0000EE"/>
              <w:bottom w:val="single" w:sz="8" w:color="auto"/>
            </w:tcBorders>
            <w:gridSpan w:val="5"/>
          </w:tcPr>
          <w:p>
            <w:pPr>
              <w:ind w:left="4260"/>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0000EE"/>
              <w:bottom w:val="single" w:sz="8" w:color="auto"/>
            </w:tcBorders>
          </w:tcPr>
          <w:p>
            <w:pPr>
              <w:spacing w:after="0"/>
              <w:rPr>
                <w:sz w:val="24"/>
                <w:szCs w:val="24"/>
                <w:color w:val="auto"/>
              </w:rPr>
            </w:pPr>
          </w:p>
        </w:tc>
        <w:tc>
          <w:tcPr>
            <w:tcW w:w="38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No.</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80" w:type="dxa"/>
            <w:vAlign w:val="bottom"/>
            <w:gridSpan w:val="19"/>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320" w:type="dxa"/>
            <w:vAlign w:val="bottom"/>
            <w:tcBorders>
              <w:top w:val="single" w:sz="8" w:color="auto"/>
              <w:bottom w:val="single" w:sz="8" w:color="0000EE"/>
            </w:tcBorders>
          </w:tcPr>
          <w:p>
            <w:pPr>
              <w:spacing w:after="0"/>
              <w:rPr>
                <w:rFonts w:ascii="Arial" w:cs="Arial" w:eastAsia="Arial" w:hAnsi="Arial"/>
                <w:sz w:val="18"/>
                <w:szCs w:val="18"/>
                <w:color w:val="0000EE"/>
                <w:w w:val="85"/>
              </w:rPr>
            </w:pPr>
            <w:hyperlink r:id="rId7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16</w:t>
              </w:r>
            </w:hyperlink>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360" w:type="dxa"/>
            <w:vAlign w:val="bottom"/>
            <w:tcBorders>
              <w:top w:val="single" w:sz="8" w:color="auto"/>
              <w:bottom w:val="single" w:sz="8" w:color="0000EE"/>
            </w:tcBorders>
            <w:gridSpan w:val="14"/>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Form of 6.00% Convertible Senior Note due 2021 (filed as Exhibit 10.2 to Form 8-K filed on August 3, 2015 and incorporated by</w:t>
              </w:r>
            </w:hyperlink>
          </w:p>
        </w:tc>
        <w:tc>
          <w:tcPr>
            <w:tcW w:w="680" w:type="dxa"/>
            <w:vAlign w:val="bottom"/>
            <w:tcBorders>
              <w:top w:val="single" w:sz="8" w:color="auto"/>
            </w:tcBorders>
            <w:gridSpan w:val="1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73">
              <w:r>
                <w:rPr>
                  <w:rFonts w:ascii="Arial" w:cs="Arial" w:eastAsia="Arial" w:hAnsi="Arial"/>
                  <w:sz w:val="18"/>
                  <w:szCs w:val="18"/>
                  <w:color w:val="0000EE"/>
                  <w:w w:val="88"/>
                </w:rPr>
                <w:t>reference herein).</w:t>
              </w:r>
            </w:hyperlink>
          </w:p>
        </w:tc>
        <w:tc>
          <w:tcPr>
            <w:tcW w:w="8760" w:type="dxa"/>
            <w:vAlign w:val="bottom"/>
            <w:gridSpan w:val="24"/>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6"/>
          </w:tcPr>
          <w:p>
            <w:pPr>
              <w:spacing w:after="0"/>
              <w:rPr>
                <w:sz w:val="20"/>
                <w:szCs w:val="20"/>
                <w:color w:val="auto"/>
              </w:rPr>
            </w:pPr>
            <w:r>
              <w:rPr>
                <w:rFonts w:ascii="Arial" w:cs="Arial" w:eastAsia="Arial" w:hAnsi="Arial"/>
                <w:sz w:val="18"/>
                <w:szCs w:val="18"/>
                <w:color w:val="0000EE"/>
              </w:rPr>
              <w:t>Opinion of Fox Rothschild LLP</w:t>
            </w:r>
          </w:p>
        </w:tc>
      </w:tr>
      <w:tr>
        <w:trPr>
          <w:trHeight w:val="20"/>
        </w:trPr>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r:id="rId8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40" w:type="dxa"/>
            <w:vAlign w:val="bottom"/>
            <w:gridSpan w:val="26"/>
          </w:tcPr>
          <w:p>
            <w:pPr>
              <w:spacing w:after="0"/>
              <w:rPr>
                <w:rFonts w:ascii="Arial" w:cs="Arial" w:eastAsia="Arial" w:hAnsi="Arial"/>
                <w:sz w:val="18"/>
                <w:szCs w:val="18"/>
                <w:color w:val="0000EE"/>
                <w:w w:val="97"/>
              </w:rPr>
            </w:pPr>
            <w:hyperlink r:id="rId80">
              <w:r>
                <w:rPr>
                  <w:rFonts w:ascii="Arial" w:cs="Arial" w:eastAsia="Arial" w:hAnsi="Arial"/>
                  <w:sz w:val="18"/>
                  <w:szCs w:val="18"/>
                  <w:color w:val="0000EE"/>
                  <w:w w:val="97"/>
                </w:rPr>
                <w:t>Form of Indemnification Agreement (filed as Exhibit 10.6 to Form 10-Q filed on November 21, 2017 and incorporated by reference</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herein).</w:t>
              </w:r>
            </w:hyperlink>
          </w:p>
        </w:tc>
        <w:tc>
          <w:tcPr>
            <w:tcW w:w="520" w:type="dxa"/>
            <w:vAlign w:val="bottom"/>
            <w:gridSpan w:val="8"/>
          </w:tcPr>
          <w:p>
            <w:pPr>
              <w:spacing w:after="0"/>
              <w:rPr>
                <w:sz w:val="17"/>
                <w:szCs w:val="17"/>
                <w:color w:val="auto"/>
              </w:rPr>
            </w:pPr>
          </w:p>
        </w:tc>
      </w:tr>
      <w:tr>
        <w:trPr>
          <w:trHeight w:val="20"/>
        </w:trPr>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r:id="rId8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40" w:type="dxa"/>
            <w:vAlign w:val="bottom"/>
            <w:gridSpan w:val="26"/>
          </w:tcPr>
          <w:p>
            <w:pPr>
              <w:spacing w:after="0"/>
              <w:rPr>
                <w:rFonts w:ascii="Arial" w:cs="Arial" w:eastAsia="Arial" w:hAnsi="Arial"/>
                <w:sz w:val="18"/>
                <w:szCs w:val="18"/>
                <w:color w:val="0000EE"/>
                <w:w w:val="98"/>
              </w:rPr>
            </w:pPr>
            <w:hyperlink r:id="rId81">
              <w:r>
                <w:rPr>
                  <w:rFonts w:ascii="Arial" w:cs="Arial" w:eastAsia="Arial" w:hAnsi="Arial"/>
                  <w:sz w:val="18"/>
                  <w:szCs w:val="18"/>
                  <w:color w:val="0000EE"/>
                  <w:w w:val="98"/>
                </w:rPr>
                <w:t>Amended and Restated Xtant Medical Equity Incentive Plan (filed as Exhibit 10.8 to Form 10-Q filed on November 16, 2015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incorporated by reference herein).</w:t>
              </w:r>
            </w:hyperlink>
          </w:p>
        </w:tc>
        <w:tc>
          <w:tcPr>
            <w:tcW w:w="6880" w:type="dxa"/>
            <w:vAlign w:val="bottom"/>
            <w:tcBorders>
              <w:top w:val="single" w:sz="8" w:color="0000EE"/>
            </w:tcBorders>
            <w:gridSpan w:val="8"/>
          </w:tcPr>
          <w:p>
            <w:pPr>
              <w:spacing w:after="0"/>
              <w:rPr>
                <w:sz w:val="17"/>
                <w:szCs w:val="17"/>
                <w:color w:val="auto"/>
              </w:rPr>
            </w:pPr>
          </w:p>
        </w:tc>
        <w:tc>
          <w:tcPr>
            <w:tcW w:w="700" w:type="dxa"/>
            <w:vAlign w:val="bottom"/>
            <w:gridSpan w:val="13"/>
          </w:tcPr>
          <w:p>
            <w:pPr>
              <w:spacing w:after="0"/>
              <w:rPr>
                <w:sz w:val="17"/>
                <w:szCs w:val="17"/>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r:id="rId8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40" w:type="dxa"/>
            <w:vAlign w:val="bottom"/>
            <w:gridSpan w:val="26"/>
          </w:tcPr>
          <w:p>
            <w:pPr>
              <w:spacing w:after="0"/>
              <w:rPr>
                <w:rFonts w:ascii="Arial" w:cs="Arial" w:eastAsia="Arial" w:hAnsi="Arial"/>
                <w:sz w:val="18"/>
                <w:szCs w:val="18"/>
                <w:color w:val="0000EE"/>
                <w:w w:val="97"/>
              </w:rPr>
            </w:pPr>
            <w:hyperlink r:id="rId82">
              <w:r>
                <w:rPr>
                  <w:rFonts w:ascii="Arial" w:cs="Arial" w:eastAsia="Arial" w:hAnsi="Arial"/>
                  <w:sz w:val="18"/>
                  <w:szCs w:val="18"/>
                  <w:color w:val="0000EE"/>
                  <w:w w:val="97"/>
                </w:rPr>
                <w:t>Form of Stock Option Agreement (filed as Exhibit 10.23 to Form 10-Q filed on May 4, 2012 and incorporated by reference herein).</w:t>
              </w:r>
            </w:hyperlink>
          </w:p>
        </w:tc>
      </w:tr>
      <w:tr>
        <w:trPr>
          <w:trHeight w:val="20"/>
        </w:trPr>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r:id="rId8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40" w:type="dxa"/>
            <w:vAlign w:val="bottom"/>
            <w:gridSpan w:val="26"/>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Amended and Restated Restricted Stock Agreement (filed as Exhibit 10.4 to Form 10-K filed on March 24, 2016 and incorporated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by reference herein).</w:t>
              </w:r>
            </w:hyperlink>
          </w:p>
        </w:tc>
        <w:tc>
          <w:tcPr>
            <w:tcW w:w="8540" w:type="dxa"/>
            <w:vAlign w:val="bottom"/>
            <w:tcBorders>
              <w:top w:val="single" w:sz="8" w:color="0000EE"/>
            </w:tcBorders>
            <w:gridSpan w:val="23"/>
          </w:tcPr>
          <w:p>
            <w:pPr>
              <w:spacing w:after="0"/>
              <w:rPr>
                <w:sz w:val="17"/>
                <w:szCs w:val="17"/>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r:id="rId8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40" w:type="dxa"/>
            <w:vAlign w:val="bottom"/>
            <w:gridSpan w:val="26"/>
          </w:tcPr>
          <w:p>
            <w:pPr>
              <w:spacing w:after="0"/>
              <w:rPr>
                <w:rFonts w:ascii="Arial" w:cs="Arial" w:eastAsia="Arial" w:hAnsi="Arial"/>
                <w:sz w:val="18"/>
                <w:szCs w:val="18"/>
                <w:color w:val="0000EE"/>
                <w:w w:val="95"/>
              </w:rPr>
            </w:pPr>
            <w:hyperlink r:id="rId84">
              <w:r>
                <w:rPr>
                  <w:rFonts w:ascii="Arial" w:cs="Arial" w:eastAsia="Arial" w:hAnsi="Arial"/>
                  <w:sz w:val="18"/>
                  <w:szCs w:val="18"/>
                  <w:color w:val="0000EE"/>
                  <w:w w:val="95"/>
                </w:rPr>
                <w:t>Daniel Goldberger Separation Agreement (filed as Exhibit 10.1 to Form 8-K filed on January 23, 2017 and incorporated by reference</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herein).</w:t>
              </w:r>
            </w:hyperlink>
          </w:p>
        </w:tc>
        <w:tc>
          <w:tcPr>
            <w:tcW w:w="440" w:type="dxa"/>
            <w:vAlign w:val="bottom"/>
            <w:gridSpan w:val="7"/>
          </w:tcPr>
          <w:p>
            <w:pPr>
              <w:spacing w:after="0"/>
              <w:rPr>
                <w:sz w:val="17"/>
                <w:szCs w:val="17"/>
                <w:color w:val="auto"/>
              </w:rPr>
            </w:pPr>
          </w:p>
        </w:tc>
      </w:tr>
      <w:tr>
        <w:trPr>
          <w:trHeight w:val="20"/>
        </w:trPr>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r:id="rId85">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040" w:type="dxa"/>
            <w:vAlign w:val="bottom"/>
            <w:gridSpan w:val="26"/>
          </w:tcPr>
          <w:p>
            <w:pPr>
              <w:spacing w:after="0"/>
              <w:rPr>
                <w:rFonts w:ascii="Arial" w:cs="Arial" w:eastAsia="Arial" w:hAnsi="Arial"/>
                <w:sz w:val="18"/>
                <w:szCs w:val="18"/>
                <w:color w:val="0000EE"/>
                <w:w w:val="97"/>
              </w:rPr>
            </w:pPr>
            <w:hyperlink r:id="rId85">
              <w:r>
                <w:rPr>
                  <w:rFonts w:ascii="Arial" w:cs="Arial" w:eastAsia="Arial" w:hAnsi="Arial"/>
                  <w:sz w:val="18"/>
                  <w:szCs w:val="18"/>
                  <w:color w:val="0000EE"/>
                  <w:w w:val="97"/>
                </w:rPr>
                <w:t>Carl O’Connell Employment Agreement (filed as Exhibit 10.1 to Form 8-K filed on October 6, 2016 and incorporated by reference</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herein).</w:t>
              </w:r>
            </w:hyperlink>
          </w:p>
        </w:tc>
        <w:tc>
          <w:tcPr>
            <w:tcW w:w="580" w:type="dxa"/>
            <w:vAlign w:val="bottom"/>
            <w:gridSpan w:val="10"/>
          </w:tcPr>
          <w:p>
            <w:pPr>
              <w:spacing w:after="0"/>
              <w:rPr>
                <w:sz w:val="17"/>
                <w:szCs w:val="17"/>
                <w:color w:val="auto"/>
              </w:rPr>
            </w:pPr>
          </w:p>
        </w:tc>
      </w:tr>
      <w:tr>
        <w:trPr>
          <w:trHeight w:val="20"/>
        </w:trPr>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r:id="rId86">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040" w:type="dxa"/>
            <w:vAlign w:val="bottom"/>
            <w:gridSpan w:val="26"/>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Amendment No. 1 to Carl O’Connell Employment Agreement, dated effective as of February 17, 2017, between Xtant Medical Holdings,</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Inc. and Carl O’Connell (filed as Exhibit 10.1 to Form 8-K filed on February 23, 2017 and incorporated by reference herein).</w:t>
              </w:r>
            </w:hyperlink>
          </w:p>
        </w:tc>
        <w:tc>
          <w:tcPr>
            <w:tcW w:w="100" w:type="dxa"/>
            <w:vAlign w:val="bottom"/>
            <w:gridSpan w:val="3"/>
          </w:tcPr>
          <w:p>
            <w:pPr>
              <w:spacing w:after="0"/>
              <w:rPr>
                <w:sz w:val="17"/>
                <w:szCs w:val="17"/>
                <w:color w:val="auto"/>
              </w:rPr>
            </w:pPr>
          </w:p>
        </w:tc>
      </w:tr>
      <w:tr>
        <w:trPr>
          <w:trHeight w:val="20"/>
        </w:trPr>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780" w:type="dxa"/>
            <w:vAlign w:val="bottom"/>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r:id="rId87">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040" w:type="dxa"/>
            <w:vAlign w:val="bottom"/>
            <w:gridSpan w:val="26"/>
          </w:tcPr>
          <w:p>
            <w:pPr>
              <w:spacing w:after="0"/>
              <w:rPr>
                <w:rFonts w:ascii="Arial" w:cs="Arial" w:eastAsia="Arial" w:hAnsi="Arial"/>
                <w:sz w:val="18"/>
                <w:szCs w:val="18"/>
                <w:color w:val="0000EE"/>
                <w:w w:val="97"/>
              </w:rPr>
            </w:pPr>
            <w:hyperlink r:id="rId87">
              <w:r>
                <w:rPr>
                  <w:rFonts w:ascii="Arial" w:cs="Arial" w:eastAsia="Arial" w:hAnsi="Arial"/>
                  <w:sz w:val="18"/>
                  <w:szCs w:val="18"/>
                  <w:color w:val="0000EE"/>
                  <w:w w:val="97"/>
                </w:rPr>
                <w:t>Carl O’Connell Stock Option Agreement (filed as Exhibit 10.2 to Form 8-K filed on October 6, 2016 and incorporated by reference</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herein).</w:t>
              </w:r>
            </w:hyperlink>
          </w:p>
        </w:tc>
        <w:tc>
          <w:tcPr>
            <w:tcW w:w="540" w:type="dxa"/>
            <w:vAlign w:val="bottom"/>
            <w:gridSpan w:val="9"/>
          </w:tcPr>
          <w:p>
            <w:pPr>
              <w:spacing w:after="0"/>
              <w:rPr>
                <w:sz w:val="17"/>
                <w:szCs w:val="17"/>
                <w:color w:val="auto"/>
              </w:rPr>
            </w:pPr>
          </w:p>
        </w:tc>
      </w:tr>
      <w:tr>
        <w:trPr>
          <w:trHeight w:val="20"/>
        </w:trPr>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r:id="rId88">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040" w:type="dxa"/>
            <w:vAlign w:val="bottom"/>
            <w:gridSpan w:val="26"/>
          </w:tcPr>
          <w:p>
            <w:pPr>
              <w:spacing w:after="0"/>
              <w:rPr>
                <w:rFonts w:ascii="Arial" w:cs="Arial" w:eastAsia="Arial" w:hAnsi="Arial"/>
                <w:sz w:val="18"/>
                <w:szCs w:val="18"/>
                <w:color w:val="0000EE"/>
                <w:w w:val="98"/>
              </w:rPr>
            </w:pPr>
            <w:hyperlink r:id="rId88">
              <w:r>
                <w:rPr>
                  <w:rFonts w:ascii="Arial" w:cs="Arial" w:eastAsia="Arial" w:hAnsi="Arial"/>
                  <w:sz w:val="18"/>
                  <w:szCs w:val="18"/>
                  <w:color w:val="0000EE"/>
                  <w:w w:val="98"/>
                </w:rPr>
                <w:t>Form of Director Agreement (filed as Exhibit 10.3 to Form 10-Q filed on August 10, 2016 and incorporated by reference herein).</w:t>
              </w:r>
            </w:hyperlink>
          </w:p>
        </w:tc>
      </w:tr>
      <w:tr>
        <w:trPr>
          <w:trHeight w:val="20"/>
        </w:trPr>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4"/>
          </w:tcPr>
          <w:p>
            <w:pPr>
              <w:spacing w:after="0"/>
              <w:rPr>
                <w:rFonts w:ascii="Arial" w:cs="Arial" w:eastAsia="Arial" w:hAnsi="Arial"/>
                <w:sz w:val="18"/>
                <w:szCs w:val="18"/>
                <w:color w:val="0000EE"/>
                <w:w w:val="88"/>
              </w:rPr>
            </w:pPr>
            <w:hyperlink r:id="rId8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Amended and Restated Credit Agreement dated July 27, 2015 by and between Bacterin and ROS Acquisition Offshore LP (filed as Exhibit</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Form 8-K filed on July 28, 2015 and incorporated by reference herein).</w:t>
              </w:r>
            </w:hyperlink>
          </w:p>
        </w:tc>
        <w:tc>
          <w:tcPr>
            <w:tcW w:w="20" w:type="dxa"/>
            <w:vAlign w:val="bottom"/>
          </w:tcPr>
          <w:p>
            <w:pPr>
              <w:spacing w:after="0"/>
              <w:rPr>
                <w:sz w:val="17"/>
                <w:szCs w:val="17"/>
                <w:color w:val="auto"/>
              </w:rPr>
            </w:pPr>
          </w:p>
        </w:tc>
      </w:tr>
      <w:tr>
        <w:trPr>
          <w:trHeight w:val="20"/>
        </w:trPr>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80" w:type="dxa"/>
            <w:vAlign w:val="bottom"/>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420" w:type="dxa"/>
            <w:vAlign w:val="bottom"/>
            <w:gridSpan w:val="4"/>
          </w:tcPr>
          <w:p>
            <w:pPr>
              <w:spacing w:after="0"/>
              <w:rPr>
                <w:rFonts w:ascii="Arial" w:cs="Arial" w:eastAsia="Arial" w:hAnsi="Arial"/>
                <w:sz w:val="18"/>
                <w:szCs w:val="18"/>
                <w:color w:val="0000EE"/>
                <w:w w:val="88"/>
              </w:rPr>
            </w:pPr>
            <w:hyperlink r:id="rId9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Securities Purchase Agreement dated July 27, 2015 by and between Bacterin and the investors named therein (filed as Exhibit 10.4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Form 8-K filed on July 28, 2015 and incorporated by reference herein).</w:t>
              </w:r>
            </w:hyperlink>
          </w:p>
        </w:tc>
        <w:tc>
          <w:tcPr>
            <w:tcW w:w="4480" w:type="dxa"/>
            <w:vAlign w:val="bottom"/>
            <w:tcBorders>
              <w:top w:val="single" w:sz="8" w:color="0000EE"/>
            </w:tcBorders>
            <w:gridSpan w:val="12"/>
          </w:tcPr>
          <w:p>
            <w:pPr>
              <w:spacing w:after="0"/>
              <w:rPr>
                <w:sz w:val="17"/>
                <w:szCs w:val="17"/>
                <w:color w:val="auto"/>
              </w:rPr>
            </w:pPr>
          </w:p>
        </w:tc>
        <w:tc>
          <w:tcPr>
            <w:tcW w:w="420" w:type="dxa"/>
            <w:vAlign w:val="bottom"/>
            <w:gridSpan w:val="6"/>
          </w:tcPr>
          <w:p>
            <w:pPr>
              <w:spacing w:after="0"/>
              <w:rPr>
                <w:sz w:val="17"/>
                <w:szCs w:val="17"/>
                <w:color w:val="auto"/>
              </w:rPr>
            </w:pPr>
          </w:p>
        </w:tc>
      </w:tr>
      <w:tr>
        <w:trPr>
          <w:trHeight w:val="412"/>
        </w:trPr>
        <w:tc>
          <w:tcPr>
            <w:tcW w:w="420" w:type="dxa"/>
            <w:vAlign w:val="bottom"/>
            <w:gridSpan w:val="4"/>
          </w:tcPr>
          <w:p>
            <w:pPr>
              <w:spacing w:after="0"/>
              <w:rPr>
                <w:rFonts w:ascii="Arial" w:cs="Arial" w:eastAsia="Arial" w:hAnsi="Arial"/>
                <w:sz w:val="18"/>
                <w:szCs w:val="18"/>
                <w:color w:val="0000EE"/>
                <w:w w:val="88"/>
              </w:rPr>
            </w:pPr>
            <w:hyperlink r:id="rId9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3"/>
              </w:rPr>
            </w:pPr>
            <w:hyperlink r:id="rId91">
              <w:r>
                <w:rPr>
                  <w:rFonts w:ascii="Arial" w:cs="Arial" w:eastAsia="Arial" w:hAnsi="Arial"/>
                  <w:sz w:val="18"/>
                  <w:szCs w:val="18"/>
                  <w:color w:val="0000EE"/>
                  <w:w w:val="93"/>
                </w:rPr>
                <w:t>Purchase Agreement dated July 27, 2015 by and between Bacterin and Leerink Partners LLC (filed as Exhibit 10.5 to Form 8-K filed on</w:t>
              </w:r>
            </w:hyperlink>
          </w:p>
        </w:tc>
      </w:tr>
      <w:tr>
        <w:trPr>
          <w:trHeight w:val="196"/>
        </w:trPr>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July 28, 2015 and incorporated by reference herein).</w:t>
              </w:r>
            </w:hyperlink>
          </w:p>
        </w:tc>
        <w:tc>
          <w:tcPr>
            <w:tcW w:w="6040" w:type="dxa"/>
            <w:vAlign w:val="bottom"/>
            <w:tcBorders>
              <w:top w:val="single" w:sz="8" w:color="0000EE"/>
            </w:tcBorders>
            <w:gridSpan w:val="15"/>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88"/>
              </w:rPr>
            </w:pPr>
            <w:hyperlink r:id="rId9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tcBorders>
              <w:bottom w:val="single" w:sz="8" w:color="0000EE"/>
            </w:tcBorders>
            <w:gridSpan w:val="15"/>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First Amendment to Amended and Restated Credit Agreement, dated March 31, 2016, by and among Bacterin International, as the</w:t>
              </w:r>
            </w:hyperlink>
          </w:p>
        </w:tc>
        <w:tc>
          <w:tcPr>
            <w:tcW w:w="620" w:type="dxa"/>
            <w:vAlign w:val="bottom"/>
            <w:gridSpan w:val="11"/>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Borrower, and Orbimed Royalty Opportunities II, LP and ROS Acquisition Offshore LP, as the Lenders (filed as Exhibit 10.1 to Form 8-K</w:t>
              </w:r>
            </w:hyperlink>
          </w:p>
        </w:tc>
        <w:tc>
          <w:tcPr>
            <w:tcW w:w="6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filed on April 1, 2016 and incorporated by reference herein).</w:t>
              </w:r>
            </w:hyperlink>
          </w:p>
        </w:tc>
      </w:tr>
      <w:tr>
        <w:trPr>
          <w:trHeight w:val="20"/>
        </w:trPr>
        <w:tc>
          <w:tcPr>
            <w:tcW w:w="1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88"/>
              </w:rPr>
            </w:pPr>
            <w:hyperlink r:id="rId9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EE"/>
            </w:tcBorders>
            <w:gridSpan w:val="22"/>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Securities Purchase Agreement, dated April 14, 2016, among Xtant Medical Holdings, Inc., ROS Acquisition Offshore LP and OrbiMed</w:t>
              </w:r>
            </w:hyperlink>
          </w:p>
        </w:tc>
        <w:tc>
          <w:tcPr>
            <w:tcW w:w="200" w:type="dxa"/>
            <w:vAlign w:val="bottom"/>
            <w:gridSpan w:val="4"/>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Royalty Opportunities II, LP (filed as Exhibit 10.1 to Form 8-K filed on April 19, 2016 and incorporated by reference herein).</w:t>
              </w:r>
            </w:hyperlink>
          </w:p>
        </w:tc>
      </w:tr>
      <w:tr>
        <w:trPr>
          <w:trHeight w:val="696"/>
        </w:trPr>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40" w:type="dxa"/>
            <w:vAlign w:val="bottom"/>
            <w:tcBorders>
              <w:top w:val="single" w:sz="8" w:color="0000EE"/>
              <w:bottom w:val="single" w:sz="8" w:color="auto"/>
            </w:tcBorders>
            <w:gridSpan w:val="8"/>
          </w:tcPr>
          <w:p>
            <w:pPr>
              <w:ind w:left="4260"/>
              <w:spacing w:after="0"/>
              <w:rPr>
                <w:sz w:val="20"/>
                <w:szCs w:val="20"/>
                <w:color w:val="auto"/>
              </w:rPr>
            </w:pPr>
            <w:r>
              <w:rPr>
                <w:rFonts w:ascii="Arial" w:cs="Arial" w:eastAsia="Arial" w:hAnsi="Arial"/>
                <w:sz w:val="18"/>
                <w:szCs w:val="18"/>
                <w:color w:val="auto"/>
              </w:rPr>
              <w:t>32</w:t>
            </w:r>
          </w:p>
        </w:tc>
        <w:tc>
          <w:tcPr>
            <w:tcW w:w="540" w:type="dxa"/>
            <w:vAlign w:val="bottom"/>
            <w:tcBorders>
              <w:top w:val="single" w:sz="8" w:color="0000EE"/>
              <w:bottom w:val="single" w:sz="8" w:color="auto"/>
            </w:tcBorders>
          </w:tcPr>
          <w:p>
            <w:pPr>
              <w:spacing w:after="0"/>
              <w:rPr>
                <w:sz w:val="24"/>
                <w:szCs w:val="24"/>
                <w:color w:val="auto"/>
              </w:rPr>
            </w:pPr>
          </w:p>
        </w:tc>
        <w:tc>
          <w:tcPr>
            <w:tcW w:w="33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No.</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80" w:type="dxa"/>
            <w:vAlign w:val="bottom"/>
            <w:gridSpan w:val="17"/>
          </w:tcPr>
          <w:p>
            <w:pPr>
              <w:ind w:left="14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60" w:type="dxa"/>
            <w:vAlign w:val="bottom"/>
            <w:tcBorders>
              <w:top w:val="single" w:sz="8" w:color="auto"/>
            </w:tcBorders>
            <w:gridSpan w:val="2"/>
          </w:tcPr>
          <w:p>
            <w:pPr>
              <w:jc w:val="right"/>
              <w:ind w:right="650"/>
              <w:spacing w:after="0"/>
              <w:rPr>
                <w:rFonts w:ascii="Arial" w:cs="Arial" w:eastAsia="Arial" w:hAnsi="Arial"/>
                <w:sz w:val="18"/>
                <w:szCs w:val="18"/>
                <w:color w:val="0000EE"/>
                <w:w w:val="88"/>
              </w:rPr>
            </w:pPr>
            <w:hyperlink r:id="rId9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220" w:type="dxa"/>
            <w:vAlign w:val="bottom"/>
          </w:tcPr>
          <w:p>
            <w:pPr>
              <w:spacing w:after="0"/>
              <w:rPr>
                <w:sz w:val="24"/>
                <w:szCs w:val="24"/>
                <w:color w:val="auto"/>
              </w:rPr>
            </w:pPr>
          </w:p>
        </w:tc>
        <w:tc>
          <w:tcPr>
            <w:tcW w:w="10040" w:type="dxa"/>
            <w:vAlign w:val="bottom"/>
            <w:tcBorders>
              <w:top w:val="single" w:sz="8" w:color="auto"/>
            </w:tcBorders>
            <w:gridSpan w:val="22"/>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Convertible Promissory Note, dated April 14, 2016, made by Xtant Medical Holdings, Inc. in favor of ROS Acquisition Offshore LP (filed</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as Exhibit 10.2 to Form 8-K filed on April 19, 2016 and incorporated by reference herein).</w:t>
              </w:r>
            </w:hyperlink>
          </w:p>
        </w:tc>
        <w:tc>
          <w:tcPr>
            <w:tcW w:w="3500" w:type="dxa"/>
            <w:vAlign w:val="bottom"/>
            <w:tcBorders>
              <w:top w:val="single" w:sz="8" w:color="0000EE"/>
            </w:tcBorders>
            <w:gridSpan w:val="14"/>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9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Arial" w:cs="Arial" w:eastAsia="Arial" w:hAnsi="Arial"/>
                <w:sz w:val="18"/>
                <w:szCs w:val="18"/>
                <w:color w:val="0000EE"/>
                <w:w w:val="93"/>
              </w:rPr>
            </w:pPr>
            <w:hyperlink r:id="rId95">
              <w:r>
                <w:rPr>
                  <w:rFonts w:ascii="Arial" w:cs="Arial" w:eastAsia="Arial" w:hAnsi="Arial"/>
                  <w:sz w:val="18"/>
                  <w:szCs w:val="18"/>
                  <w:color w:val="0000EE"/>
                  <w:w w:val="93"/>
                </w:rPr>
                <w:t>Convertible Promissory Note, dated April 14, 2016, made by Xtant Medical Holdings, Inc. in favor of OrbiMed Royalty Opportunities II,</w:t>
              </w:r>
            </w:hyperlink>
          </w:p>
        </w:tc>
        <w:tc>
          <w:tcPr>
            <w:tcW w:w="100" w:type="dxa"/>
            <w:vAlign w:val="bottom"/>
            <w:gridSpan w:val="3"/>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LP (filed as Exhibit 10.3 to Form 8-K filed on April 19, 2016 and incorporated by reference herein).</w:t>
              </w:r>
            </w:hyperlink>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9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80" w:type="dxa"/>
            <w:vAlign w:val="bottom"/>
            <w:tcBorders>
              <w:bottom w:val="single" w:sz="8" w:color="0000EE"/>
            </w:tcBorders>
            <w:gridSpan w:val="13"/>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Amendment to Amended and Restated Credit Agreement, dated as of April 14, 2016, by and among Bacterin International, Inc., ROS</w:t>
              </w:r>
            </w:hyperlink>
          </w:p>
        </w:tc>
        <w:tc>
          <w:tcPr>
            <w:tcW w:w="360" w:type="dxa"/>
            <w:vAlign w:val="bottom"/>
            <w:gridSpan w:val="9"/>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9"/>
              </w:rPr>
            </w:pPr>
            <w:hyperlink r:id="rId96">
              <w:r>
                <w:rPr>
                  <w:rFonts w:ascii="Arial" w:cs="Arial" w:eastAsia="Arial" w:hAnsi="Arial"/>
                  <w:sz w:val="18"/>
                  <w:szCs w:val="18"/>
                  <w:color w:val="0000EE"/>
                  <w:w w:val="99"/>
                </w:rPr>
                <w:t>Acquisition Offshore LP and OrbiMed Royalty Opportunities II, LP (filed as Exhibit 10.5 to Form 8-K filed on April 19, 2016 and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incorporated by reference herein).</w:t>
              </w:r>
            </w:hyperlink>
          </w:p>
        </w:tc>
        <w:tc>
          <w:tcPr>
            <w:tcW w:w="6960" w:type="dxa"/>
            <w:vAlign w:val="bottom"/>
            <w:tcBorders>
              <w:top w:val="single" w:sz="8" w:color="0000EE"/>
            </w:tcBorders>
            <w:gridSpan w:val="7"/>
          </w:tcPr>
          <w:p>
            <w:pPr>
              <w:spacing w:after="0"/>
              <w:rPr>
                <w:sz w:val="17"/>
                <w:szCs w:val="17"/>
                <w:color w:val="auto"/>
              </w:rPr>
            </w:pPr>
          </w:p>
        </w:tc>
        <w:tc>
          <w:tcPr>
            <w:tcW w:w="620" w:type="dxa"/>
            <w:vAlign w:val="bottom"/>
            <w:gridSpan w:val="11"/>
          </w:tcPr>
          <w:p>
            <w:pPr>
              <w:spacing w:after="0"/>
              <w:rPr>
                <w:sz w:val="17"/>
                <w:szCs w:val="17"/>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9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3"/>
              </w:rPr>
            </w:pPr>
            <w:hyperlink r:id="rId97">
              <w:r>
                <w:rPr>
                  <w:rFonts w:ascii="Arial" w:cs="Arial" w:eastAsia="Arial" w:hAnsi="Arial"/>
                  <w:sz w:val="18"/>
                  <w:szCs w:val="18"/>
                  <w:color w:val="0000EE"/>
                  <w:w w:val="93"/>
                </w:rPr>
                <w:t>Fourth Amendment to Amended and Restated Credit Agreement, dated as of July 29, 2016, by and among Bacterin International, Inc.,</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ROS Acquisition Offshore LP and OrbiMed Royalty Opportunities II, LP (filed as Exhibit 10.1 to Form 8-K filed on August 2, 2016 and</w:t>
              </w:r>
            </w:hyperlink>
          </w:p>
        </w:tc>
        <w:tc>
          <w:tcPr>
            <w:tcW w:w="160" w:type="dxa"/>
            <w:vAlign w:val="bottom"/>
            <w:gridSpan w:val="5"/>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incorporated by reference herein).</w:t>
              </w:r>
            </w:hyperlink>
          </w:p>
        </w:tc>
        <w:tc>
          <w:tcPr>
            <w:tcW w:w="7580" w:type="dxa"/>
            <w:vAlign w:val="bottom"/>
            <w:gridSpan w:val="18"/>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9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Borders>
              <w:bottom w:val="single" w:sz="8" w:color="0000EE"/>
            </w:tcBorders>
            <w:gridSpan w:val="14"/>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Sixth Amendment to Amended and Restated Credit Agreement, dated as of September 27, 2016, by and among Bacterin International,</w:t>
              </w:r>
            </w:hyperlink>
          </w:p>
        </w:tc>
        <w:tc>
          <w:tcPr>
            <w:tcW w:w="340" w:type="dxa"/>
            <w:vAlign w:val="bottom"/>
            <w:gridSpan w:val="8"/>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4"/>
              </w:rPr>
            </w:pPr>
            <w:hyperlink r:id="rId98">
              <w:r>
                <w:rPr>
                  <w:rFonts w:ascii="Arial" w:cs="Arial" w:eastAsia="Arial" w:hAnsi="Arial"/>
                  <w:sz w:val="18"/>
                  <w:szCs w:val="18"/>
                  <w:color w:val="0000EE"/>
                  <w:w w:val="94"/>
                </w:rPr>
                <w:t>Inc., ROS Acquisition Offshore LP and OrbiMed Royalty Opportunities II, LP (filed as Exhibit 10.1 to Form 8-K filed on September 28,</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2016 and incorporated by reference herein).</w:t>
              </w:r>
            </w:hyperlink>
          </w:p>
        </w:tc>
        <w:tc>
          <w:tcPr>
            <w:tcW w:w="180" w:type="dxa"/>
            <w:vAlign w:val="bottom"/>
            <w:gridSpan w:val="6"/>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9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3"/>
              </w:rPr>
            </w:pPr>
            <w:hyperlink r:id="rId99">
              <w:r>
                <w:rPr>
                  <w:rFonts w:ascii="Arial" w:cs="Arial" w:eastAsia="Arial" w:hAnsi="Arial"/>
                  <w:sz w:val="18"/>
                  <w:szCs w:val="18"/>
                  <w:color w:val="0000EE"/>
                  <w:w w:val="93"/>
                </w:rPr>
                <w:t>Loan and Security Agreement, dated May 25, 2016, among Xtant Medical Holdings, Inc., Bacterin International, Inc., X-spine Systems,</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Inc., Xtant Medical, Inc. and Silicon Valley Bank (filed as Exhibit 10.1 to Form 8-K filed on May 31, 2016 and incorporated by reference</w:t>
              </w:r>
            </w:hyperlink>
          </w:p>
        </w:tc>
        <w:tc>
          <w:tcPr>
            <w:tcW w:w="120" w:type="dxa"/>
            <w:vAlign w:val="bottom"/>
            <w:gridSpan w:val="4"/>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herein).</w:t>
              </w:r>
            </w:hyperlink>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650"/>
              <w:spacing w:after="0"/>
              <w:rPr>
                <w:rFonts w:ascii="Arial" w:cs="Arial" w:eastAsia="Arial" w:hAnsi="Arial"/>
                <w:sz w:val="18"/>
                <w:szCs w:val="18"/>
                <w:color w:val="0000EE"/>
                <w:w w:val="88"/>
              </w:rPr>
            </w:pPr>
            <w:hyperlink r:id="rId10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2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First Loan Modification Agreement, dated August 12, 2016, among Xtant Medical Holdings, Inc., Bacterin International, Inc., X-spine</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Systems, Inc., Xtant Medical, Inc. and Silicon Valley Bank (filed as Exhibit 10.1 to Form 8-K filed on August 16, 2016 and incorporated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by reference herein).</w:t>
              </w:r>
            </w:hyperlink>
          </w:p>
        </w:tc>
        <w:tc>
          <w:tcPr>
            <w:tcW w:w="8540" w:type="dxa"/>
            <w:vAlign w:val="bottom"/>
            <w:gridSpan w:val="19"/>
          </w:tcPr>
          <w:p>
            <w:pPr>
              <w:spacing w:after="0"/>
              <w:rPr>
                <w:sz w:val="17"/>
                <w:szCs w:val="17"/>
                <w:color w:val="auto"/>
              </w:rPr>
            </w:pPr>
          </w:p>
        </w:tc>
      </w:tr>
      <w:tr>
        <w:trPr>
          <w:trHeight w:val="412"/>
        </w:trPr>
        <w:tc>
          <w:tcPr>
            <w:tcW w:w="1160" w:type="dxa"/>
            <w:vAlign w:val="bottom"/>
            <w:gridSpan w:val="2"/>
          </w:tcPr>
          <w:p>
            <w:pPr>
              <w:jc w:val="right"/>
              <w:ind w:right="650"/>
              <w:spacing w:after="0"/>
              <w:rPr>
                <w:rFonts w:ascii="Arial" w:cs="Arial" w:eastAsia="Arial" w:hAnsi="Arial"/>
                <w:sz w:val="18"/>
                <w:szCs w:val="18"/>
                <w:color w:val="0000EE"/>
                <w:w w:val="88"/>
              </w:rPr>
            </w:pPr>
            <w:hyperlink r:id="rId10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2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3"/>
              </w:rPr>
            </w:pPr>
            <w:hyperlink r:id="rId101">
              <w:r>
                <w:rPr>
                  <w:rFonts w:ascii="Arial" w:cs="Arial" w:eastAsia="Arial" w:hAnsi="Arial"/>
                  <w:sz w:val="18"/>
                  <w:szCs w:val="18"/>
                  <w:color w:val="0000EE"/>
                  <w:w w:val="93"/>
                </w:rPr>
                <w:t>Intellectual Property Security Agreement, dated May 25, 2016, among Xtant Medical Holdings, Inc., Bacterin International, Inc., X-spine</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Systems, Inc., Xtant Medical, Inc. and Silicon Valley Bank (filed as Exhibit 10.2 to Form 8-K filed on May 31, 2016 and incorporated by</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01">
              <w:r>
                <w:rPr>
                  <w:rFonts w:ascii="Arial" w:cs="Arial" w:eastAsia="Arial" w:hAnsi="Arial"/>
                  <w:sz w:val="18"/>
                  <w:szCs w:val="18"/>
                  <w:color w:val="0000EE"/>
                  <w:w w:val="88"/>
                </w:rPr>
                <w:t>reference herein).</w:t>
              </w:r>
            </w:hyperlink>
          </w:p>
        </w:tc>
        <w:tc>
          <w:tcPr>
            <w:tcW w:w="874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0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Securities Purchase Agreement, dated January 17, 2017, between Xtant Medical Holdings, Inc. and Bruce Fund, Inc. (filed as Exhibit 10.2</w:t>
              </w:r>
            </w:hyperlink>
          </w:p>
        </w:tc>
        <w:tc>
          <w:tcPr>
            <w:tcW w:w="60" w:type="dxa"/>
            <w:vAlign w:val="bottom"/>
            <w:gridSpan w:val="2"/>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to Form 8-K filed on January 20, 2017 and incorporated by reference herein).</w:t>
              </w:r>
            </w:hyperlink>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gridSpan w:val="6"/>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0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tcBorders>
              <w:bottom w:val="single" w:sz="8" w:color="0000EE"/>
            </w:tcBorders>
            <w:gridSpan w:val="12"/>
          </w:tcPr>
          <w:p>
            <w:pPr>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Securities Purchase Agreement, dated January 17, 2017, between Xtant Medical Holdings, Inc. and Park West Partners International,</w:t>
              </w:r>
            </w:hyperlink>
          </w:p>
        </w:tc>
        <w:tc>
          <w:tcPr>
            <w:tcW w:w="460" w:type="dxa"/>
            <w:vAlign w:val="bottom"/>
            <w:gridSpan w:val="10"/>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Limited (filed as Exhibit 10.3 to Form 8-K filed on January 20, 2017 and incorporated by reference herein).</w:t>
              </w:r>
            </w:hyperlink>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7"/>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0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Securities Purchase Agreement, dated January 17, 2017, between Xtant Medical Holdings, Inc. and Park West Investors Master Fund,</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Limited (filed as Exhibit 10.4 to Form 8-K filed on January 20, 2017 and incorporated by reference herein).</w:t>
              </w:r>
            </w:hyperlink>
          </w:p>
        </w:tc>
        <w:tc>
          <w:tcPr>
            <w:tcW w:w="360" w:type="dxa"/>
            <w:vAlign w:val="bottom"/>
            <w:gridSpan w:val="9"/>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7"/>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0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Securities Purchase Agreement, dated January 17, 2017, between Xtant Medical Holdings, Inc. and Telemetry Securities, L.L.C. (filed as</w:t>
              </w:r>
            </w:hyperlink>
          </w:p>
        </w:tc>
        <w:tc>
          <w:tcPr>
            <w:tcW w:w="160" w:type="dxa"/>
            <w:vAlign w:val="bottom"/>
            <w:gridSpan w:val="5"/>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Exhibit 10.5 to Form 8-K filed on January 20, 2017 and incorporated by reference herein).</w:t>
              </w:r>
            </w:hyperlink>
          </w:p>
        </w:tc>
      </w:tr>
      <w:tr>
        <w:trPr>
          <w:trHeight w:val="696"/>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top w:val="single" w:sz="8" w:color="0000EE"/>
              <w:bottom w:val="single" w:sz="8" w:color="auto"/>
            </w:tcBorders>
            <w:gridSpan w:val="6"/>
          </w:tcPr>
          <w:p>
            <w:pPr>
              <w:ind w:left="4260"/>
              <w:spacing w:after="0"/>
              <w:rPr>
                <w:sz w:val="20"/>
                <w:szCs w:val="20"/>
                <w:color w:val="auto"/>
              </w:rPr>
            </w:pPr>
            <w:r>
              <w:rPr>
                <w:rFonts w:ascii="Arial" w:cs="Arial" w:eastAsia="Arial" w:hAnsi="Arial"/>
                <w:sz w:val="18"/>
                <w:szCs w:val="18"/>
                <w:color w:val="auto"/>
              </w:rPr>
              <w:t>33</w:t>
            </w:r>
          </w:p>
        </w:tc>
        <w:tc>
          <w:tcPr>
            <w:tcW w:w="9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No.</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580" w:type="dxa"/>
            <w:vAlign w:val="bottom"/>
            <w:gridSpan w:val="21"/>
          </w:tcPr>
          <w:p>
            <w:pPr>
              <w:ind w:left="21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tcBorders>
              <w:top w:val="single" w:sz="8" w:color="auto"/>
            </w:tcBorders>
          </w:tcPr>
          <w:p>
            <w:pPr>
              <w:jc w:val="right"/>
              <w:spacing w:after="0"/>
              <w:rPr>
                <w:rFonts w:ascii="Arial" w:cs="Arial" w:eastAsia="Arial" w:hAnsi="Arial"/>
                <w:sz w:val="18"/>
                <w:szCs w:val="18"/>
                <w:color w:val="0000EE"/>
                <w:w w:val="88"/>
              </w:rPr>
            </w:pPr>
            <w:hyperlink r:id="rId10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top w:val="single" w:sz="8" w:color="auto"/>
            </w:tcBorders>
            <w:gridSpan w:val="25"/>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Securities Purchase Agreement (for sale of the Indenture Notes), dated January 17, 2017, among Xtant Medical Holdings, Inc., ROS</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w w:val="96"/>
              </w:rPr>
            </w:pPr>
            <w:hyperlink r:id="rId106">
              <w:r>
                <w:rPr>
                  <w:rFonts w:ascii="Arial" w:cs="Arial" w:eastAsia="Arial" w:hAnsi="Arial"/>
                  <w:sz w:val="18"/>
                  <w:szCs w:val="18"/>
                  <w:color w:val="0000EE"/>
                  <w:w w:val="96"/>
                </w:rPr>
                <w:t>Acquisition Offshore LP and OrbiMed Royalty Opportunities II, LP. (filed as Exhibit 10.6 to Form 8-K filed on January 20, 2017 and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incorporated by reference herein).</w:t>
              </w:r>
            </w:hyperlink>
          </w:p>
        </w:tc>
        <w:tc>
          <w:tcPr>
            <w:tcW w:w="7160" w:type="dxa"/>
            <w:vAlign w:val="bottom"/>
            <w:tcBorders>
              <w:top w:val="single" w:sz="8" w:color="0000EE"/>
            </w:tcBorders>
            <w:gridSpan w:val="11"/>
          </w:tcPr>
          <w:p>
            <w:pPr>
              <w:spacing w:after="0"/>
              <w:rPr>
                <w:sz w:val="17"/>
                <w:szCs w:val="17"/>
                <w:color w:val="auto"/>
              </w:rPr>
            </w:pPr>
          </w:p>
        </w:tc>
        <w:tc>
          <w:tcPr>
            <w:tcW w:w="420" w:type="dxa"/>
            <w:vAlign w:val="bottom"/>
            <w:gridSpan w:val="10"/>
          </w:tcPr>
          <w:p>
            <w:pPr>
              <w:spacing w:after="0"/>
              <w:rPr>
                <w:sz w:val="17"/>
                <w:szCs w:val="17"/>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0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Securities Purchase Agreement (for sale of the PIK Notes), dated January 17, 2017, among Xtant Medical Holdings, Inc., ROS Acquisition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Offshore LP and OrbiMed Royalty Opportunities II, LP (filed as Exhibit 10.10 to Form 8-K filed on January 20, 2017 and incorporated by</w:t>
              </w:r>
            </w:hyperlink>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reference herein).</w:t>
              </w:r>
            </w:hyperlink>
          </w:p>
        </w:tc>
        <w:tc>
          <w:tcPr>
            <w:tcW w:w="8760" w:type="dxa"/>
            <w:vAlign w:val="bottom"/>
            <w:gridSpan w:val="23"/>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0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29</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tcBorders>
              <w:bottom w:val="single" w:sz="8" w:color="0000EE"/>
            </w:tcBorders>
            <w:gridSpan w:val="22"/>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 xml:space="preserve">Convertible Promissory Note in the principal amount of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995,700, dated January 17, 2017, made by Xtant Medical Holdings, Inc. in favor</w:t>
              </w:r>
            </w:hyperlink>
          </w:p>
        </w:tc>
        <w:tc>
          <w:tcPr>
            <w:tcW w:w="60" w:type="dxa"/>
            <w:vAlign w:val="bottom"/>
            <w:gridSpan w:val="3"/>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of ROS Acquisition Offshore LP (filed as Exhibit 10.7 to Form 8-K filed on January 20, 2017 and incorporated by reference herein).</w:t>
              </w:r>
            </w:hyperlink>
          </w:p>
        </w:tc>
        <w:tc>
          <w:tcPr>
            <w:tcW w:w="460" w:type="dxa"/>
            <w:vAlign w:val="bottom"/>
            <w:gridSpan w:val="11"/>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0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30</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tcBorders>
              <w:bottom w:val="single" w:sz="8" w:color="0000EE"/>
            </w:tcBorders>
            <w:gridSpan w:val="22"/>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 xml:space="preserve">Convertible Promissory Note in the principal amount of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564,300, dated January 17, 2017, made by Xtant Medical Holdings, Inc. in favor</w:t>
              </w:r>
            </w:hyperlink>
          </w:p>
        </w:tc>
        <w:tc>
          <w:tcPr>
            <w:tcW w:w="60" w:type="dxa"/>
            <w:vAlign w:val="bottom"/>
            <w:gridSpan w:val="3"/>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of OrbiMed Royalty Opportunities II, LP (filed as Exhibit 10.8 to Form 8-K filed on January 20, 2017 and incorporated by reference</w:t>
              </w:r>
            </w:hyperlink>
          </w:p>
        </w:tc>
        <w:tc>
          <w:tcPr>
            <w:tcW w:w="460" w:type="dxa"/>
            <w:vAlign w:val="bottom"/>
            <w:gridSpan w:val="11"/>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herein).</w:t>
              </w:r>
            </w:hyperlink>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1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31</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w w:val="94"/>
              </w:rPr>
            </w:pPr>
            <w:hyperlink r:id="rId110">
              <w:r>
                <w:rPr>
                  <w:rFonts w:ascii="Arial" w:cs="Arial" w:eastAsia="Arial" w:hAnsi="Arial"/>
                  <w:sz w:val="18"/>
                  <w:szCs w:val="18"/>
                  <w:color w:val="0000EE"/>
                  <w:w w:val="94"/>
                </w:rPr>
                <w:t xml:space="preserve">Convertible Promissory Note in the principal amount of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42,856.59, dated January 17, 2017, made by Xtant Medical Holdings, Inc. in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top w:val="single" w:sz="8" w:color="0000EE"/>
            </w:tcBorders>
            <w:gridSpan w:val="17"/>
          </w:tcPr>
          <w:p>
            <w:pPr>
              <w:spacing w:after="0" w:line="19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favor of ROS Acquisition Offshore LP (filed as Exhibit 10.11 to Form 8-K filed on January 20, 2017 and incorporated by reference</w:t>
              </w:r>
            </w:hyperlink>
          </w:p>
        </w:tc>
        <w:tc>
          <w:tcPr>
            <w:tcW w:w="360" w:type="dxa"/>
            <w:vAlign w:val="bottom"/>
            <w:gridSpan w:val="8"/>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herein).</w:t>
              </w:r>
            </w:hyperlink>
          </w:p>
        </w:tc>
        <w:tc>
          <w:tcPr>
            <w:tcW w:w="580" w:type="dxa"/>
            <w:vAlign w:val="bottom"/>
            <w:gridSpan w:val="14"/>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1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32</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w w:val="94"/>
              </w:rPr>
            </w:pPr>
            <w:hyperlink r:id="rId111">
              <w:r>
                <w:rPr>
                  <w:rFonts w:ascii="Arial" w:cs="Arial" w:eastAsia="Arial" w:hAnsi="Arial"/>
                  <w:sz w:val="18"/>
                  <w:szCs w:val="18"/>
                  <w:color w:val="0000EE"/>
                  <w:w w:val="94"/>
                </w:rPr>
                <w:t xml:space="preserve">Convertible Promissory Note in the principal amount of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24,288.41, dated January 17, 2017, made by Xtant Medical Holdings, Inc. in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r:id="rId111">
              <w:r>
                <w:rPr>
                  <w:rFonts w:ascii="Arial" w:cs="Arial" w:eastAsia="Arial" w:hAnsi="Arial"/>
                  <w:sz w:val="18"/>
                  <w:szCs w:val="18"/>
                  <w:color w:val="0000EE"/>
                  <w:w w:val="95"/>
                </w:rPr>
                <w:t>favor of OrbiMed Royalty Opportunities II, LP (filed as Exhibit 10.12 to Form 8-K filed on January 20, 2017 and incorporated by</w:t>
              </w:r>
            </w:hyperlink>
          </w:p>
        </w:tc>
        <w:tc>
          <w:tcPr>
            <w:tcW w:w="360" w:type="dxa"/>
            <w:vAlign w:val="bottom"/>
            <w:gridSpan w:val="8"/>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reference herein).</w:t>
              </w:r>
            </w:hyperlink>
          </w:p>
        </w:tc>
        <w:tc>
          <w:tcPr>
            <w:tcW w:w="8080" w:type="dxa"/>
            <w:vAlign w:val="bottom"/>
            <w:tcBorders>
              <w:top w:val="single" w:sz="8" w:color="0000EE"/>
            </w:tcBorders>
            <w:gridSpan w:val="8"/>
          </w:tcPr>
          <w:p>
            <w:pPr>
              <w:spacing w:after="0"/>
              <w:rPr>
                <w:sz w:val="17"/>
                <w:szCs w:val="17"/>
                <w:color w:val="auto"/>
              </w:rPr>
            </w:pPr>
          </w:p>
        </w:tc>
        <w:tc>
          <w:tcPr>
            <w:tcW w:w="680" w:type="dxa"/>
            <w:vAlign w:val="bottom"/>
            <w:gridSpan w:val="15"/>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1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33</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20" w:type="dxa"/>
            <w:vAlign w:val="bottom"/>
            <w:tcBorders>
              <w:bottom w:val="single" w:sz="8" w:color="0000EE"/>
            </w:tcBorders>
            <w:gridSpan w:val="8"/>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Securities Purchase Agreement, dated as of February 14, 2018, by and among Xtant Medical Holdings, Inc., OrbiMed Royalty</w:t>
              </w:r>
            </w:hyperlink>
          </w:p>
        </w:tc>
        <w:tc>
          <w:tcPr>
            <w:tcW w:w="920" w:type="dxa"/>
            <w:vAlign w:val="bottom"/>
            <w:gridSpan w:val="17"/>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w w:val="96"/>
              </w:rPr>
            </w:pPr>
            <w:hyperlink r:id="rId112">
              <w:r>
                <w:rPr>
                  <w:rFonts w:ascii="Arial" w:cs="Arial" w:eastAsia="Arial" w:hAnsi="Arial"/>
                  <w:sz w:val="18"/>
                  <w:szCs w:val="18"/>
                  <w:color w:val="0000EE"/>
                  <w:w w:val="96"/>
                </w:rPr>
                <w:t>Opportunities II, LP, ROS Acquisition Offshore LP (filed as Exhibit 10.2 to Form 8-K filed on February 16, 2018 and incorporated by</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reference herein).</w:t>
              </w:r>
            </w:hyperlink>
          </w:p>
        </w:tc>
        <w:tc>
          <w:tcPr>
            <w:tcW w:w="8340" w:type="dxa"/>
            <w:vAlign w:val="bottom"/>
            <w:tcBorders>
              <w:top w:val="single" w:sz="8" w:color="0000EE"/>
            </w:tcBorders>
            <w:gridSpan w:val="13"/>
          </w:tcPr>
          <w:p>
            <w:pPr>
              <w:spacing w:after="0"/>
              <w:rPr>
                <w:sz w:val="17"/>
                <w:szCs w:val="17"/>
                <w:color w:val="auto"/>
              </w:rPr>
            </w:pPr>
          </w:p>
        </w:tc>
        <w:tc>
          <w:tcPr>
            <w:tcW w:w="380" w:type="dxa"/>
            <w:vAlign w:val="bottom"/>
            <w:gridSpan w:val="9"/>
          </w:tcPr>
          <w:p>
            <w:pPr>
              <w:spacing w:after="0"/>
              <w:rPr>
                <w:sz w:val="17"/>
                <w:szCs w:val="17"/>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1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34</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Eighth Amendment to Amended and Restated Credit Agreement, dated as of January 13, 2017, by and among Bacterin International, Inc.,</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Xtant Medical Holdings, Inc., X-Spine Systems, Inc., Xtant Medical, Inc., ROS Acquisition Offshore LP and OrbiMed Royalty</w:t>
              </w:r>
            </w:hyperlink>
          </w:p>
        </w:tc>
        <w:tc>
          <w:tcPr>
            <w:tcW w:w="100" w:type="dxa"/>
            <w:vAlign w:val="bottom"/>
            <w:gridSpan w:val="5"/>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80" w:type="dxa"/>
            <w:vAlign w:val="bottom"/>
            <w:tcBorders>
              <w:top w:val="single" w:sz="8" w:color="0000EE"/>
            </w:tcBorders>
            <w:gridSpan w:val="9"/>
          </w:tcPr>
          <w:p>
            <w:pPr>
              <w:spacing w:after="0" w:line="196" w:lineRule="exact"/>
              <w:rPr>
                <w:rFonts w:ascii="Arial" w:cs="Arial" w:eastAsia="Arial" w:hAnsi="Arial"/>
                <w:sz w:val="18"/>
                <w:szCs w:val="18"/>
                <w:color w:val="0000EE"/>
                <w:w w:val="97"/>
              </w:rPr>
            </w:pPr>
            <w:hyperlink r:id="rId113">
              <w:r>
                <w:rPr>
                  <w:rFonts w:ascii="Arial" w:cs="Arial" w:eastAsia="Arial" w:hAnsi="Arial"/>
                  <w:sz w:val="18"/>
                  <w:szCs w:val="18"/>
                  <w:color w:val="0000EE"/>
                  <w:w w:val="97"/>
                </w:rPr>
                <w:t>Opportunities II, LP (filed as Exhibit 10.1 to Form 8-K filed on January 20, 2017 and incorporated by reference herein).</w:t>
              </w:r>
            </w:hyperlink>
          </w:p>
        </w:tc>
        <w:tc>
          <w:tcPr>
            <w:tcW w:w="860" w:type="dxa"/>
            <w:vAlign w:val="bottom"/>
            <w:gridSpan w:val="16"/>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1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35</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19"/>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Ninth Amendment to Amended and Restated Credit Agreement, dated as of January 31, 2017, by and among Bacterin International, Inc.,</w:t>
              </w:r>
            </w:hyperlink>
          </w:p>
        </w:tc>
        <w:tc>
          <w:tcPr>
            <w:tcW w:w="160" w:type="dxa"/>
            <w:vAlign w:val="bottom"/>
            <w:gridSpan w:val="6"/>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Xtant Medical Holdings, Inc., X-Spine Systems, Inc., Xtant Medical, Inc., ROS Acquisition Offshore LP and OrbiMed Royalty</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80" w:type="dxa"/>
            <w:vAlign w:val="bottom"/>
            <w:tcBorders>
              <w:top w:val="single" w:sz="8" w:color="0000EE"/>
            </w:tcBorders>
            <w:gridSpan w:val="9"/>
          </w:tcPr>
          <w:p>
            <w:pPr>
              <w:spacing w:after="0" w:line="196" w:lineRule="exact"/>
              <w:rPr>
                <w:rFonts w:ascii="Arial" w:cs="Arial" w:eastAsia="Arial" w:hAnsi="Arial"/>
                <w:sz w:val="18"/>
                <w:szCs w:val="18"/>
                <w:color w:val="0000EE"/>
                <w:w w:val="97"/>
              </w:rPr>
            </w:pPr>
            <w:hyperlink r:id="rId114">
              <w:r>
                <w:rPr>
                  <w:rFonts w:ascii="Arial" w:cs="Arial" w:eastAsia="Arial" w:hAnsi="Arial"/>
                  <w:sz w:val="18"/>
                  <w:szCs w:val="18"/>
                  <w:color w:val="0000EE"/>
                  <w:w w:val="97"/>
                </w:rPr>
                <w:t>Opportunities II, LP (filed as Exhibit 10.1 to Form 8-K filed on February 1, 2017 and incorporated by reference herein).</w:t>
              </w:r>
            </w:hyperlink>
          </w:p>
        </w:tc>
        <w:tc>
          <w:tcPr>
            <w:tcW w:w="860" w:type="dxa"/>
            <w:vAlign w:val="bottom"/>
            <w:gridSpan w:val="16"/>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36</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Tenth Amendment to Amended and Restated Credit Agreement, dated as of February 14, 2017, by and among Bacterin International, Inc.,</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Xtant Medical Holdings, Inc., X-Spine Systems, Inc., Xtant Medical, Inc., ROS Acquisition Offshore LP and OrbiMed Royalty</w:t>
              </w:r>
            </w:hyperlink>
          </w:p>
        </w:tc>
        <w:tc>
          <w:tcPr>
            <w:tcW w:w="80" w:type="dxa"/>
            <w:vAlign w:val="bottom"/>
            <w:gridSpan w:val="4"/>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Opportunities II, LP (filed as Exhibit 10.1 to Form 8-K filed on February 15, 2017 and incorporated by reference herein).</w:t>
              </w:r>
            </w:hyperlink>
          </w:p>
        </w:tc>
        <w:tc>
          <w:tcPr>
            <w:tcW w:w="440" w:type="dxa"/>
            <w:vAlign w:val="bottom"/>
            <w:tcBorders>
              <w:top w:val="single" w:sz="8" w:color="0000EE"/>
            </w:tcBorders>
            <w:gridSpan w:val="2"/>
          </w:tcPr>
          <w:p>
            <w:pPr>
              <w:spacing w:after="0"/>
              <w:rPr>
                <w:sz w:val="17"/>
                <w:szCs w:val="17"/>
                <w:color w:val="auto"/>
              </w:rPr>
            </w:pPr>
          </w:p>
        </w:tc>
        <w:tc>
          <w:tcPr>
            <w:tcW w:w="860" w:type="dxa"/>
            <w:vAlign w:val="bottom"/>
            <w:gridSpan w:val="16"/>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1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37</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EE"/>
            </w:tcBorders>
            <w:gridSpan w:val="18"/>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Eleventh Amendment to Amended and Restated Credit Agreement, dated as of February 28, 2017, by and among Bacterin International,</w:t>
              </w:r>
            </w:hyperlink>
          </w:p>
        </w:tc>
        <w:tc>
          <w:tcPr>
            <w:tcW w:w="200" w:type="dxa"/>
            <w:vAlign w:val="bottom"/>
            <w:gridSpan w:val="7"/>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Inc., Xtant Medical Holdings, Inc., X-Spine Systems, Inc., Xtant Medical, Inc., ROS Acquisition Offshore LP and OrbiMed Royalty</w:t>
              </w:r>
            </w:hyperlink>
          </w:p>
        </w:tc>
        <w:tc>
          <w:tcPr>
            <w:tcW w:w="480" w:type="dxa"/>
            <w:vAlign w:val="bottom"/>
            <w:gridSpan w:val="12"/>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Opportunities II, LP (filed as Exhibit 10.1 to Form 8-K filed on March 2, 2017 and incorporated by reference herein).</w:t>
              </w:r>
            </w:hyperlink>
          </w:p>
        </w:tc>
      </w:tr>
      <w:tr>
        <w:trPr>
          <w:trHeight w:val="696"/>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60" w:type="dxa"/>
            <w:vAlign w:val="bottom"/>
            <w:tcBorders>
              <w:top w:val="single" w:sz="8" w:color="0000EE"/>
              <w:bottom w:val="single" w:sz="8" w:color="auto"/>
            </w:tcBorders>
            <w:gridSpan w:val="5"/>
          </w:tcPr>
          <w:p>
            <w:pPr>
              <w:ind w:left="4260"/>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2"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No.</w:t>
            </w:r>
          </w:p>
        </w:tc>
        <w:tc>
          <w:tcPr>
            <w:tcW w:w="10040" w:type="dxa"/>
            <w:vAlign w:val="bottom"/>
            <w:gridSpan w:val="13"/>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tcBorders>
              <w:top w:val="single" w:sz="8" w:color="auto"/>
            </w:tcBorders>
          </w:tcPr>
          <w:p>
            <w:pPr>
              <w:jc w:val="right"/>
              <w:spacing w:after="0"/>
              <w:rPr>
                <w:rFonts w:ascii="Arial" w:cs="Arial" w:eastAsia="Arial" w:hAnsi="Arial"/>
                <w:sz w:val="18"/>
                <w:szCs w:val="18"/>
                <w:color w:val="0000EE"/>
                <w:w w:val="88"/>
              </w:rPr>
            </w:pPr>
            <w:hyperlink r:id="rId11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38</w:t>
              </w:r>
            </w:hyperlink>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top w:val="single" w:sz="8" w:color="auto"/>
            </w:tcBorders>
            <w:gridSpan w:val="13"/>
          </w:tcPr>
          <w:p>
            <w:pPr>
              <w:spacing w:after="0"/>
              <w:rPr>
                <w:rFonts w:ascii="Arial" w:cs="Arial" w:eastAsia="Arial" w:hAnsi="Arial"/>
                <w:sz w:val="18"/>
                <w:szCs w:val="18"/>
                <w:color w:val="0000EE"/>
                <w:w w:val="96"/>
              </w:rPr>
            </w:pPr>
            <w:hyperlink r:id="rId117">
              <w:r>
                <w:rPr>
                  <w:rFonts w:ascii="Arial" w:cs="Arial" w:eastAsia="Arial" w:hAnsi="Arial"/>
                  <w:sz w:val="18"/>
                  <w:szCs w:val="18"/>
                  <w:color w:val="0000EE"/>
                  <w:w w:val="96"/>
                </w:rPr>
                <w:t>Twelfth Amendment and Waiver to Amended and Restated Credit Agreement, dated as of March 31, 2017, by and among Bacterin</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International, Inc., Xtant Medical Holdings, Inc., X-Spine Systems, Inc., Xtant Medical, Inc., ROS Acquisition Offshore LP and OrbiMed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Royalty Opportunities II, LP (filed as Exhibit 10.1 to Form 8-K filed on April 6, 2017 and incorporated by reference herein).</w:t>
              </w:r>
            </w:hyperlink>
          </w:p>
        </w:tc>
        <w:tc>
          <w:tcPr>
            <w:tcW w:w="940" w:type="dxa"/>
            <w:vAlign w:val="bottom"/>
            <w:tcBorders>
              <w:top w:val="single" w:sz="8" w:color="0000EE"/>
            </w:tcBorders>
            <w:gridSpan w:val="8"/>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1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5"/>
              </w:rPr>
            </w:pPr>
            <w:hyperlink r:id="rId118">
              <w:r>
                <w:rPr>
                  <w:rFonts w:ascii="Arial" w:cs="Arial" w:eastAsia="Arial" w:hAnsi="Arial"/>
                  <w:sz w:val="18"/>
                  <w:szCs w:val="18"/>
                  <w:color w:val="0000EE"/>
                  <w:w w:val="95"/>
                </w:rPr>
                <w:t>Thirteenth Amendment and Waiver to Amended and Restated Credit Agreement, dated as of April 30, 2017, by and among Bacterin</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International, Inc., Xtant Medical Holdings, Inc., X-Spine Systems, Inc., Xtant Medical, Inc., ROS Acquisition Offshore LP and OrbiMed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Royalty Opportunities II, LP (filed as Exhibit 10.1 to Form 8-K filed on May 4, 2017 and incorporated by reference herein).</w:t>
              </w:r>
            </w:hyperlink>
          </w:p>
        </w:tc>
        <w:tc>
          <w:tcPr>
            <w:tcW w:w="100" w:type="dxa"/>
            <w:vAlign w:val="bottom"/>
            <w:gridSpan w:val="2"/>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1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Arial" w:cs="Arial" w:eastAsia="Arial" w:hAnsi="Arial"/>
                <w:sz w:val="18"/>
                <w:szCs w:val="18"/>
                <w:color w:val="0000EE"/>
                <w:w w:val="95"/>
              </w:rPr>
            </w:pPr>
            <w:hyperlink r:id="rId119">
              <w:r>
                <w:rPr>
                  <w:rFonts w:ascii="Arial" w:cs="Arial" w:eastAsia="Arial" w:hAnsi="Arial"/>
                  <w:sz w:val="18"/>
                  <w:szCs w:val="18"/>
                  <w:color w:val="0000EE"/>
                  <w:w w:val="95"/>
                </w:rPr>
                <w:t>Fourteenth Amendment and Waiver to Amended and Restated Credit Agreement, dated as of May 11, 2017, by and among Bacterin</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International, Inc., Xtant Medical Holdings, Inc., X-Spine Systems, Inc., Xtant Medical, Inc., ROS Acquisition Offshore LP and OrbiMed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Royalty Opportunities II, LP (filed as Exhibit 10.1 to Form 8-K filed on May 12, 2017 and incorporated by reference herein).</w:t>
              </w:r>
            </w:hyperlink>
          </w:p>
        </w:tc>
        <w:tc>
          <w:tcPr>
            <w:tcW w:w="900" w:type="dxa"/>
            <w:vAlign w:val="bottom"/>
            <w:tcBorders>
              <w:top w:val="single" w:sz="8" w:color="0000EE"/>
            </w:tcBorders>
            <w:gridSpan w:val="7"/>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41</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tcBorders>
              <w:bottom w:val="single" w:sz="8" w:color="0000EE"/>
            </w:tcBorders>
            <w:gridSpan w:val="6"/>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Fifteenth Amendment and Waiver to Amended and Restated Credit Agreement, dated as of June 30, 2017, by and among Bacterin</w:t>
              </w:r>
            </w:hyperlink>
          </w:p>
        </w:tc>
        <w:tc>
          <w:tcPr>
            <w:tcW w:w="620" w:type="dxa"/>
            <w:vAlign w:val="bottom"/>
            <w:gridSpan w:val="7"/>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International, Inc., Xtant Medical Holdings, Inc., X-Spine Systems, Inc., Xtant Medical, Inc., ROS Acquisition Offshore LP and OrbiMed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Royalty Opportunities II, LP (filed as Exhibit 10.1 to Form 8-K filed on July 7, 2017 and incorporated by reference herein).</w:t>
              </w:r>
            </w:hyperlink>
          </w:p>
        </w:tc>
        <w:tc>
          <w:tcPr>
            <w:tcW w:w="100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42</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tcBorders>
              <w:bottom w:val="single" w:sz="8" w:color="0000EE"/>
            </w:tcBorders>
            <w:gridSpan w:val="6"/>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Sixteenth Amendment and Waiver to Amended and Restated Credit Agreement, dated as of July 15, 2017, by and among Bacterin</w:t>
              </w:r>
            </w:hyperlink>
          </w:p>
        </w:tc>
        <w:tc>
          <w:tcPr>
            <w:tcW w:w="620" w:type="dxa"/>
            <w:vAlign w:val="bottom"/>
            <w:gridSpan w:val="7"/>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International, Inc., Xtant Medical Holdings, Inc., X-Spine Systems, Inc., Xtant Medical, Inc., ROS Acquisition Offshore LP and OrbiMed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Royalty Opportunities II, LP (filed as Exhibit 10.1 to Form 8-K filed on July 20, 2017 and incorporated by reference herein).</w:t>
              </w:r>
            </w:hyperlink>
          </w:p>
        </w:tc>
        <w:tc>
          <w:tcPr>
            <w:tcW w:w="100" w:type="dxa"/>
            <w:vAlign w:val="bottom"/>
            <w:gridSpan w:val="2"/>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43</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tcBorders>
              <w:bottom w:val="single" w:sz="8" w:color="0000EE"/>
            </w:tcBorders>
            <w:gridSpan w:val="9"/>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Seventeenth Amendment and Waiver to Amended and Restated Credit Agreement, dated as of August 11, 2017, by and among Bacterin</w:t>
              </w:r>
            </w:hyperlink>
          </w:p>
        </w:tc>
        <w:tc>
          <w:tcPr>
            <w:tcW w:w="240" w:type="dxa"/>
            <w:vAlign w:val="bottom"/>
            <w:gridSpan w:val="4"/>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International, Inc., Xtant Medical Holdings, Inc., X-Spine Systems, Inc., Xtant Medical, Inc., ROS Acquisition Offshore LP and OrbiMed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r:id="rId122">
              <w:r>
                <w:rPr>
                  <w:rFonts w:ascii="Arial" w:cs="Arial" w:eastAsia="Arial" w:hAnsi="Arial"/>
                  <w:sz w:val="18"/>
                  <w:szCs w:val="18"/>
                  <w:color w:val="0000EE"/>
                  <w:w w:val="99"/>
                </w:rPr>
                <w:t>Royalty Opportunities II, LP (filed as Exhibit 10.1 to Form 8-K filed on August 17, 2017 and incorporated by reference herein).</w:t>
              </w:r>
            </w:hyperlink>
          </w:p>
        </w:tc>
        <w:tc>
          <w:tcPr>
            <w:tcW w:w="100" w:type="dxa"/>
            <w:vAlign w:val="bottom"/>
            <w:gridSpan w:val="2"/>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44</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Eighteenth Amendment and Waiver to Amended and Restated Credit Agreement, dated as of September 29, 2017, by and among Bacterin</w:t>
              </w:r>
            </w:hyperlink>
          </w:p>
        </w:tc>
        <w:tc>
          <w:tcPr>
            <w:tcW w:w="8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International, Inc., Xtant Medical Holdings, Inc., X-Spine Systems, Inc., Xtant Medical, Inc., ROS Acquisition Offshore LP and OrbiMed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Royalty Opportunities II, LP (filed as Exhibit 10.1 to Form 8-K filed on October 3, 2017 and incorporated by reference herein).</w:t>
              </w:r>
            </w:hyperlink>
          </w:p>
        </w:tc>
        <w:tc>
          <w:tcPr>
            <w:tcW w:w="720" w:type="dxa"/>
            <w:vAlign w:val="bottom"/>
            <w:tcBorders>
              <w:top w:val="single" w:sz="8" w:color="0000EE"/>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2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45</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Nineteenth Amendment to Amended and Restated Credit Agreement, dated as of October 31, 2017, by and among Bacterin International,</w:t>
              </w:r>
            </w:hyperlink>
          </w:p>
        </w:tc>
        <w:tc>
          <w:tcPr>
            <w:tcW w:w="120" w:type="dxa"/>
            <w:vAlign w:val="bottom"/>
            <w:gridSpan w:val="3"/>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Inc., Xtant Medical Holdings, Inc., X-Spine Systems, Inc., Xtant Medical, Inc., ROS Acquisition Offshore LP and OrbiMed Royalty</w:t>
              </w:r>
            </w:hyperlink>
          </w:p>
        </w:tc>
        <w:tc>
          <w:tcPr>
            <w:tcW w:w="480" w:type="dxa"/>
            <w:vAlign w:val="bottom"/>
            <w:gridSpan w:val="5"/>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Opportunities II, LP (filed as Exhibit 10.1 to Form 8-K filed on October 31, 2017 and incorporated by reference herein).</w:t>
              </w:r>
            </w:hyperlink>
          </w:p>
        </w:tc>
      </w:tr>
      <w:tr>
        <w:trPr>
          <w:trHeight w:val="696"/>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60" w:type="dxa"/>
            <w:vAlign w:val="bottom"/>
            <w:tcBorders>
              <w:top w:val="single" w:sz="8" w:color="0000EE"/>
              <w:bottom w:val="single" w:sz="8" w:color="auto"/>
            </w:tcBorders>
          </w:tcPr>
          <w:p>
            <w:pPr>
              <w:ind w:left="4260"/>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6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No.</w:t>
            </w:r>
          </w:p>
        </w:tc>
        <w:tc>
          <w:tcPr>
            <w:tcW w:w="600" w:type="dxa"/>
            <w:vAlign w:val="bottom"/>
          </w:tcPr>
          <w:p>
            <w:pPr>
              <w:spacing w:after="0"/>
              <w:rPr>
                <w:sz w:val="20"/>
                <w:szCs w:val="20"/>
                <w:color w:val="auto"/>
              </w:rPr>
            </w:pPr>
          </w:p>
        </w:tc>
        <w:tc>
          <w:tcPr>
            <w:tcW w:w="9440" w:type="dxa"/>
            <w:vAlign w:val="bottom"/>
            <w:gridSpan w:val="19"/>
          </w:tcPr>
          <w:p>
            <w:pPr>
              <w:ind w:left="39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tcBorders>
              <w:top w:val="single" w:sz="8" w:color="auto"/>
              <w:bottom w:val="single" w:sz="8" w:color="0000EE"/>
            </w:tcBorders>
          </w:tcPr>
          <w:p>
            <w:pPr>
              <w:jc w:val="right"/>
              <w:spacing w:after="0"/>
              <w:rPr>
                <w:rFonts w:ascii="Arial" w:cs="Arial" w:eastAsia="Arial" w:hAnsi="Arial"/>
                <w:sz w:val="18"/>
                <w:szCs w:val="18"/>
                <w:color w:val="0000EE"/>
                <w:w w:val="88"/>
              </w:rPr>
            </w:pPr>
            <w:hyperlink r:id="rId1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46</w:t>
              </w:r>
            </w:hyperlink>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bottom w:val="single" w:sz="8" w:color="0000EE"/>
            </w:tcBorders>
            <w:gridSpan w:val="16"/>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Twentieth Amendment and Waiver to Amended and Restated Credit Agreement, dated as of November 30, 2017, by and among Bacterin</w:t>
              </w:r>
            </w:hyperlink>
          </w:p>
        </w:tc>
        <w:tc>
          <w:tcPr>
            <w:tcW w:w="160" w:type="dxa"/>
            <w:vAlign w:val="bottom"/>
            <w:tcBorders>
              <w:top w:val="single" w:sz="8" w:color="auto"/>
            </w:tcBorders>
            <w:gridSpan w:val="4"/>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International, Inc., Xtant Medical Holdings, Inc., X-Spine Systems, Inc., Xtant Medical, Inc., ROS Acquisition Offshore LP and OrbiMed</w:t>
              </w:r>
            </w:hyperlink>
          </w:p>
        </w:tc>
        <w:tc>
          <w:tcPr>
            <w:tcW w:w="80" w:type="dxa"/>
            <w:vAlign w:val="bottom"/>
            <w:gridSpan w:val="2"/>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Royalty Opportunities II, LP (filed as Exhibit 10.1 to Form 8-K filed on December 4, 2017 and incorporated by reference herein).</w:t>
              </w:r>
            </w:hyperlink>
          </w:p>
        </w:tc>
        <w:tc>
          <w:tcPr>
            <w:tcW w:w="680" w:type="dxa"/>
            <w:vAlign w:val="bottom"/>
            <w:gridSpan w:val="13"/>
          </w:tcPr>
          <w:p>
            <w:pPr>
              <w:spacing w:after="0"/>
              <w:rPr>
                <w:sz w:val="17"/>
                <w:szCs w:val="17"/>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2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47</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EE"/>
                <w:w w:val="98"/>
              </w:rPr>
            </w:pPr>
            <w:hyperlink r:id="rId126">
              <w:r>
                <w:rPr>
                  <w:rFonts w:ascii="Arial" w:cs="Arial" w:eastAsia="Arial" w:hAnsi="Arial"/>
                  <w:sz w:val="18"/>
                  <w:szCs w:val="18"/>
                  <w:color w:val="0000EE"/>
                  <w:w w:val="98"/>
                </w:rPr>
                <w:t>Twenty-First Amendment to Amended and Restated Credit Agreement, dated as of December 28, 2017, by and among Bacterin</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International, Inc., Xtant Medical Holdings, Inc., X-Spine Systems, Inc., Xtant Medical, Inc., ROS Acquisition Offshore LP and OrbiMed</w:t>
              </w:r>
            </w:hyperlink>
          </w:p>
        </w:tc>
        <w:tc>
          <w:tcPr>
            <w:tcW w:w="80" w:type="dxa"/>
            <w:vAlign w:val="bottom"/>
            <w:gridSpan w:val="2"/>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7"/>
              </w:rPr>
            </w:pPr>
            <w:hyperlink r:id="rId126">
              <w:r>
                <w:rPr>
                  <w:rFonts w:ascii="Arial" w:cs="Arial" w:eastAsia="Arial" w:hAnsi="Arial"/>
                  <w:sz w:val="18"/>
                  <w:szCs w:val="18"/>
                  <w:color w:val="0000EE"/>
                  <w:w w:val="97"/>
                </w:rPr>
                <w:t>Royalty Opportunities II, LP (filed as Exhibit 10.1 to Form 8-K filed on December 29, 2017 and incorporated by reference herein).</w:t>
              </w:r>
            </w:hyperlink>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2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48</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40" w:type="dxa"/>
            <w:vAlign w:val="bottom"/>
            <w:tcBorders>
              <w:top w:val="single" w:sz="8" w:color="0000EE"/>
            </w:tcBorders>
            <w:gridSpan w:val="9"/>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Twenty-Second Amendment to Amended and Restated Credit Agreement, dated as of January 30, 2018, by and among Bacterin</w:t>
              </w:r>
            </w:hyperlink>
          </w:p>
        </w:tc>
        <w:tc>
          <w:tcPr>
            <w:tcW w:w="600" w:type="dxa"/>
            <w:vAlign w:val="bottom"/>
            <w:gridSpan w:val="11"/>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International, Inc., Xtant Medical Holdings, Inc., X-Spine Systems, Inc., Xtant Medical, Inc., ROS Acquisition Offshore LP and OrbiMed</w:t>
              </w:r>
            </w:hyperlink>
          </w:p>
        </w:tc>
        <w:tc>
          <w:tcPr>
            <w:tcW w:w="80" w:type="dxa"/>
            <w:vAlign w:val="bottom"/>
            <w:gridSpan w:val="2"/>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Royalty Opportunities II, LP (filed as Exhibit 10.1 to Form 8-K filed on January 31, 2018 and incorporated by reference herein).</w:t>
              </w:r>
            </w:hyperlink>
          </w:p>
        </w:tc>
        <w:tc>
          <w:tcPr>
            <w:tcW w:w="740" w:type="dxa"/>
            <w:vAlign w:val="bottom"/>
            <w:gridSpan w:val="14"/>
          </w:tcPr>
          <w:p>
            <w:pPr>
              <w:spacing w:after="0"/>
              <w:rPr>
                <w:sz w:val="17"/>
                <w:szCs w:val="17"/>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2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49</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EE"/>
                <w:w w:val="98"/>
              </w:rPr>
            </w:pPr>
            <w:hyperlink r:id="rId128">
              <w:r>
                <w:rPr>
                  <w:rFonts w:ascii="Arial" w:cs="Arial" w:eastAsia="Arial" w:hAnsi="Arial"/>
                  <w:sz w:val="18"/>
                  <w:szCs w:val="18"/>
                  <w:color w:val="0000EE"/>
                  <w:w w:val="98"/>
                </w:rPr>
                <w:t>Twenty-Third Amendment to Amended and Restated Credit Agreement, dated as of February 14, 2018, by and among Bacterin</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International, Inc., Xtant Medical Holdings, Inc., X-Spine Systems, Inc., Xtant Medical, Inc., ROS Acquisition Offshore LP and OrbiMed</w:t>
              </w:r>
            </w:hyperlink>
          </w:p>
        </w:tc>
        <w:tc>
          <w:tcPr>
            <w:tcW w:w="80" w:type="dxa"/>
            <w:vAlign w:val="bottom"/>
            <w:gridSpan w:val="2"/>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Royalty Opportunities II, LP (filed as Exhibit 10.1 to Form 8-K filed on February 16, 2018 and incorporated by reference herein).</w:t>
              </w:r>
            </w:hyperlink>
          </w:p>
        </w:tc>
        <w:tc>
          <w:tcPr>
            <w:tcW w:w="640" w:type="dxa"/>
            <w:vAlign w:val="bottom"/>
            <w:gridSpan w:val="12"/>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2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50</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tcBorders>
              <w:bottom w:val="single" w:sz="8" w:color="0000EE"/>
            </w:tcBorders>
            <w:gridSpan w:val="10"/>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Waiver Letter, dated as of March 31, 2017, by and among Xtant Medical Holdings, Inc., ROS Acquisition Offshore LP and OrbiMed</w:t>
              </w:r>
            </w:hyperlink>
          </w:p>
        </w:tc>
        <w:tc>
          <w:tcPr>
            <w:tcW w:w="460" w:type="dxa"/>
            <w:vAlign w:val="bottom"/>
            <w:gridSpan w:val="10"/>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Royalty Opportunities II, LP (filed as Exhibit 10.2 to Form 8-K filed on April 6, 2017 and incorporated by reference herein).</w:t>
              </w:r>
            </w:hyperlink>
          </w:p>
        </w:tc>
        <w:tc>
          <w:tcPr>
            <w:tcW w:w="1000" w:type="dxa"/>
            <w:vAlign w:val="bottom"/>
            <w:gridSpan w:val="16"/>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3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51</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tcBorders>
              <w:bottom w:val="single" w:sz="8" w:color="0000EE"/>
            </w:tcBorders>
            <w:gridSpan w:val="17"/>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Waiver, dated as of March 31, 2017, by ROS Acquisition Offshore LP and OrbiMed Royalty Opportunities II, LP (filed as Exhibit 10.3 to</w:t>
              </w:r>
            </w:hyperlink>
          </w:p>
        </w:tc>
        <w:tc>
          <w:tcPr>
            <w:tcW w:w="100" w:type="dxa"/>
            <w:vAlign w:val="bottom"/>
            <w:gridSpan w:val="3"/>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Form 8-K filed on April 6, 2017 and incorporated by reference herein).</w:t>
              </w:r>
            </w:hyperlink>
          </w:p>
        </w:tc>
        <w:tc>
          <w:tcPr>
            <w:tcW w:w="4860" w:type="dxa"/>
            <w:vAlign w:val="bottom"/>
            <w:gridSpan w:val="18"/>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3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52</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20" w:type="dxa"/>
            <w:vAlign w:val="bottom"/>
            <w:tcBorders>
              <w:bottom w:val="single" w:sz="8" w:color="0000EE"/>
            </w:tcBorders>
            <w:gridSpan w:val="13"/>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Omnibus Waiver, dated as of July 15, 2017, by ROS Acquisition Offshore LP, OrbiMed Royalty Opportunities II, LP, Bruce Fund Inc.,</w:t>
              </w:r>
            </w:hyperlink>
          </w:p>
        </w:tc>
        <w:tc>
          <w:tcPr>
            <w:tcW w:w="320" w:type="dxa"/>
            <w:vAlign w:val="bottom"/>
            <w:gridSpan w:val="7"/>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Park West Partners International, Limited, Park West Investors Master Fund, Limited and Telemetry Securities, L.L.C. (filed as Exhibit</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Form 8-K filed on July 20, 2017 and incorporated by reference herein).</w:t>
              </w:r>
            </w:hyperlink>
          </w:p>
        </w:tc>
        <w:tc>
          <w:tcPr>
            <w:tcW w:w="300" w:type="dxa"/>
            <w:vAlign w:val="bottom"/>
            <w:gridSpan w:val="6"/>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80" w:type="dxa"/>
            <w:vAlign w:val="bottom"/>
            <w:gridSpan w:val="2"/>
            <w:shd w:val="clear" w:color="auto" w:fill="0000EE"/>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3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53</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EE"/>
                <w:w w:val="94"/>
              </w:rPr>
            </w:pPr>
            <w:hyperlink r:id="rId132">
              <w:r>
                <w:rPr>
                  <w:rFonts w:ascii="Arial" w:cs="Arial" w:eastAsia="Arial" w:hAnsi="Arial"/>
                  <w:sz w:val="18"/>
                  <w:szCs w:val="18"/>
                  <w:color w:val="0000EE"/>
                  <w:w w:val="94"/>
                </w:rPr>
                <w:t>Amendment and Waiver, dated as of August 15, 2017, by and among Xtant Medical Holdings, Inc., ROS Acquisition Offshore LP and</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8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OrbiMed Royalty Opportunities II, LP (filed as Exhibit 10.3 to Form 8-K filed on August 17, 2017 and incorporated by reference herein).</w:t>
              </w:r>
            </w:hyperlink>
          </w:p>
        </w:tc>
        <w:tc>
          <w:tcPr>
            <w:tcW w:w="60" w:type="dxa"/>
            <w:vAlign w:val="bottom"/>
          </w:tcPr>
          <w:p>
            <w:pPr>
              <w:spacing w:after="0"/>
              <w:rPr>
                <w:sz w:val="17"/>
                <w:szCs w:val="17"/>
                <w:color w:val="auto"/>
              </w:rPr>
            </w:pPr>
          </w:p>
        </w:tc>
      </w:tr>
      <w:tr>
        <w:trPr>
          <w:trHeight w:val="412"/>
        </w:trPr>
        <w:tc>
          <w:tcPr>
            <w:tcW w:w="420" w:type="dxa"/>
            <w:vAlign w:val="bottom"/>
            <w:tcBorders>
              <w:bottom w:val="single" w:sz="8" w:color="0000EE"/>
            </w:tcBorders>
          </w:tcPr>
          <w:p>
            <w:pPr>
              <w:jc w:val="right"/>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54</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tcBorders>
              <w:bottom w:val="single" w:sz="8" w:color="0000EE"/>
            </w:tcBorders>
            <w:gridSpan w:val="18"/>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Second Amendment and Waiver, dated as of September 29, 2017, by and among Xtant Medical Holdings, Inc., ROS Acquisition Offshore</w:t>
              </w:r>
            </w:hyperlink>
          </w:p>
        </w:tc>
        <w:tc>
          <w:tcPr>
            <w:tcW w:w="80" w:type="dxa"/>
            <w:vAlign w:val="bottom"/>
            <w:gridSpan w:val="2"/>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LP and OrbiMed Royalty Opportunities II, LP (filed as Exhibit 10.3 to Form 8-K filed on October 3, 2017 and incorporated by reference</w:t>
              </w:r>
            </w:hyperlink>
          </w:p>
        </w:tc>
        <w:tc>
          <w:tcPr>
            <w:tcW w:w="180" w:type="dxa"/>
            <w:vAlign w:val="bottom"/>
            <w:gridSpan w:val="5"/>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33">
              <w:r>
                <w:rPr>
                  <w:rFonts w:ascii="Arial" w:cs="Arial" w:eastAsia="Arial" w:hAnsi="Arial"/>
                  <w:sz w:val="18"/>
                  <w:szCs w:val="18"/>
                  <w:color w:val="0000EE"/>
                  <w:w w:val="94"/>
                </w:rPr>
                <w:t>herein).</w:t>
              </w:r>
            </w:hyperlink>
          </w:p>
        </w:tc>
        <w:tc>
          <w:tcPr>
            <w:tcW w:w="9440" w:type="dxa"/>
            <w:vAlign w:val="bottom"/>
            <w:gridSpan w:val="19"/>
          </w:tcPr>
          <w:p>
            <w:pPr>
              <w:spacing w:after="0"/>
              <w:rPr>
                <w:sz w:val="17"/>
                <w:szCs w:val="17"/>
                <w:color w:val="auto"/>
              </w:rPr>
            </w:pPr>
          </w:p>
        </w:tc>
      </w:tr>
      <w:tr>
        <w:trPr>
          <w:trHeight w:val="412"/>
        </w:trPr>
        <w:tc>
          <w:tcPr>
            <w:tcW w:w="420" w:type="dxa"/>
            <w:vAlign w:val="bottom"/>
          </w:tcPr>
          <w:p>
            <w:pPr>
              <w:jc w:val="right"/>
              <w:spacing w:after="0"/>
              <w:rPr>
                <w:rFonts w:ascii="Arial" w:cs="Arial" w:eastAsia="Arial" w:hAnsi="Arial"/>
                <w:sz w:val="18"/>
                <w:szCs w:val="18"/>
                <w:color w:val="0000EE"/>
                <w:w w:val="88"/>
              </w:rPr>
            </w:pPr>
            <w:hyperlink r:id="rId13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55</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EE"/>
                <w:w w:val="93"/>
              </w:rPr>
            </w:pPr>
            <w:hyperlink r:id="rId134">
              <w:r>
                <w:rPr>
                  <w:rFonts w:ascii="Arial" w:cs="Arial" w:eastAsia="Arial" w:hAnsi="Arial"/>
                  <w:sz w:val="18"/>
                  <w:szCs w:val="18"/>
                  <w:color w:val="0000EE"/>
                  <w:w w:val="93"/>
                </w:rPr>
                <w:t>Third Amendment and Waiver, dated as of October 31, 2017, by and among Xtant Medical Holdings, Inc., ROS Acquisition Offshore LP</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and OrbiMed Royalty Opportunities II, LP (filed as Exhibit 10.3 to Form 8-K filed on October 31, 2017 and incorporated by reference</w:t>
              </w:r>
            </w:hyperlink>
          </w:p>
        </w:tc>
        <w:tc>
          <w:tcPr>
            <w:tcW w:w="180" w:type="dxa"/>
            <w:vAlign w:val="bottom"/>
            <w:tcBorders>
              <w:top w:val="single" w:sz="8" w:color="0000EE"/>
            </w:tcBorders>
            <w:gridSpan w:val="4"/>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herein).</w:t>
              </w:r>
            </w:hyperlink>
          </w:p>
        </w:tc>
        <w:tc>
          <w:tcPr>
            <w:tcW w:w="9440" w:type="dxa"/>
            <w:vAlign w:val="bottom"/>
            <w:gridSpan w:val="19"/>
          </w:tcPr>
          <w:p>
            <w:pPr>
              <w:spacing w:after="0"/>
              <w:rPr>
                <w:sz w:val="17"/>
                <w:szCs w:val="17"/>
                <w:color w:val="auto"/>
              </w:rPr>
            </w:pPr>
          </w:p>
        </w:tc>
      </w:tr>
      <w:tr>
        <w:trPr>
          <w:trHeight w:val="696"/>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ind w:left="4260"/>
              <w:spacing w:after="0"/>
              <w:rPr>
                <w:sz w:val="20"/>
                <w:szCs w:val="20"/>
                <w:color w:val="auto"/>
              </w:rPr>
            </w:pPr>
            <w:r>
              <w:rPr>
                <w:rFonts w:ascii="Arial" w:cs="Arial" w:eastAsia="Arial" w:hAnsi="Arial"/>
                <w:sz w:val="18"/>
                <w:szCs w:val="18"/>
                <w:color w:val="auto"/>
              </w:rPr>
              <w:t>36</w:t>
            </w:r>
          </w:p>
        </w:tc>
        <w:tc>
          <w:tcPr>
            <w:tcW w:w="5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2"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6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No.</w:t>
            </w:r>
          </w:p>
        </w:tc>
        <w:tc>
          <w:tcPr>
            <w:tcW w:w="6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19"/>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tcBorders>
              <w:top w:val="single" w:sz="8" w:color="auto"/>
              <w:bottom w:val="single" w:sz="8" w:color="0000EE"/>
            </w:tcBorders>
            <w:gridSpan w:val="2"/>
          </w:tcPr>
          <w:p>
            <w:pPr>
              <w:spacing w:after="0"/>
              <w:rPr>
                <w:rFonts w:ascii="Arial" w:cs="Arial" w:eastAsia="Arial" w:hAnsi="Arial"/>
                <w:sz w:val="18"/>
                <w:szCs w:val="18"/>
                <w:color w:val="0000EE"/>
                <w:w w:val="88"/>
              </w:rPr>
            </w:pPr>
            <w:hyperlink r:id="rId13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56</w:t>
              </w:r>
            </w:hyperlink>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tcBorders>
              <w:top w:val="single" w:sz="8" w:color="auto"/>
              <w:bottom w:val="single" w:sz="8" w:color="0000EE"/>
            </w:tcBorders>
            <w:gridSpan w:val="19"/>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Waiver, dated as of November 14, 2017, by and among Bacterin International, Inc., Xtant Medical Holdings, Inc., X-Spine Systems, Inc.,</w:t>
              </w:r>
            </w:hyperlink>
          </w:p>
        </w:tc>
        <w:tc>
          <w:tcPr>
            <w:tcW w:w="120" w:type="dxa"/>
            <w:vAlign w:val="bottom"/>
            <w:tcBorders>
              <w:top w:val="single" w:sz="8" w:color="auto"/>
            </w:tcBorders>
            <w:gridSpan w:val="4"/>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Xtant Medical, Inc., ROS Acquisition Offshore LP and OrbiMed Royalty Opportunities II, LP (filed as Exhibit 10.1 to Form 8-K filed on</w:t>
              </w:r>
            </w:hyperlink>
          </w:p>
        </w:tc>
        <w:tc>
          <w:tcPr>
            <w:tcW w:w="120" w:type="dxa"/>
            <w:vAlign w:val="bottom"/>
            <w:gridSpan w:val="4"/>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November 14, 2017 and incorporated by reference herein).</w:t>
              </w:r>
            </w:hyperlink>
          </w:p>
        </w:tc>
        <w:tc>
          <w:tcPr>
            <w:tcW w:w="5760" w:type="dxa"/>
            <w:vAlign w:val="bottom"/>
            <w:gridSpan w:val="19"/>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13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57</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00" w:type="dxa"/>
            <w:vAlign w:val="bottom"/>
            <w:tcBorders>
              <w:bottom w:val="single" w:sz="8" w:color="0000EE"/>
            </w:tcBorders>
            <w:gridSpan w:val="18"/>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Fourth Amendment and Waiver, dated as of November 30, 2017, by and among Xtant Medical Holdings, Inc., ROS Acquisition Offshore</w:t>
              </w:r>
            </w:hyperlink>
          </w:p>
        </w:tc>
        <w:tc>
          <w:tcPr>
            <w:tcW w:w="140" w:type="dxa"/>
            <w:vAlign w:val="bottom"/>
            <w:gridSpan w:val="5"/>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LP and OrbiMed Royalty Opportunities II, LP (filed as Exhibit 10.3 to Form 8-K filed on December 4, 2017 and incorporated by reference</w:t>
              </w:r>
            </w:hyperlink>
          </w:p>
        </w:tc>
        <w:tc>
          <w:tcPr>
            <w:tcW w:w="2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36">
              <w:r>
                <w:rPr>
                  <w:rFonts w:ascii="Arial" w:cs="Arial" w:eastAsia="Arial" w:hAnsi="Arial"/>
                  <w:sz w:val="18"/>
                  <w:szCs w:val="18"/>
                  <w:color w:val="0000EE"/>
                  <w:w w:val="94"/>
                </w:rPr>
                <w:t>herein).</w:t>
              </w:r>
            </w:hyperlink>
          </w:p>
        </w:tc>
        <w:tc>
          <w:tcPr>
            <w:tcW w:w="9440" w:type="dxa"/>
            <w:vAlign w:val="bottom"/>
            <w:gridSpan w:val="2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13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58</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tcBorders>
              <w:bottom w:val="single" w:sz="8" w:color="0000EE"/>
            </w:tcBorders>
            <w:gridSpan w:val="21"/>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Fifth Amendment and Waiver, dated as of December 28, 2017, by and among Xtant Medical Holdings, Inc., ROS Acquisition Offshore LP</w:t>
              </w:r>
            </w:hyperlink>
          </w:p>
        </w:tc>
        <w:tc>
          <w:tcPr>
            <w:tcW w:w="4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and OrbiMed Royalty Opportunities II, LP (filed as Exhibit 10.3 to Form 8-K filed on December 29, 2017 and incorporated by reference</w:t>
              </w:r>
            </w:hyperlink>
          </w:p>
        </w:tc>
        <w:tc>
          <w:tcPr>
            <w:tcW w:w="18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herein).</w:t>
              </w:r>
            </w:hyperlink>
          </w:p>
        </w:tc>
        <w:tc>
          <w:tcPr>
            <w:tcW w:w="9440" w:type="dxa"/>
            <w:vAlign w:val="bottom"/>
            <w:gridSpan w:val="22"/>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8"/>
              </w:rPr>
            </w:pPr>
            <w:hyperlink r:id="rId13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59</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Sixth Amendment, dated as of January 17, 2018, by and among Xtant Medical Holdings, Inc., ROS Acquisition Offshore LP and OrbiMed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Royalty Opportunities II, LP (filed as Exhibit 10.1 to Form 8-K filed on January 23, 2018, and incorporated by reference herein).</w:t>
              </w:r>
            </w:hyperlink>
          </w:p>
        </w:tc>
        <w:tc>
          <w:tcPr>
            <w:tcW w:w="640" w:type="dxa"/>
            <w:vAlign w:val="bottom"/>
            <w:tcBorders>
              <w:top w:val="single" w:sz="8" w:color="0000EE"/>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8"/>
              </w:rPr>
            </w:pPr>
            <w:hyperlink r:id="rId13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60</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Sixth Amendment and Waiver, dated as of January 30, 2018, by and among Xtant Medical Holdings, Inc., ROS Acquisition Offshore LP</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and OrbiMed Royalty Opportunities II, LP (filed as Exhibit 10.3 to Form 8-K filed on January 31, 2018, and incorporated by reference</w:t>
              </w:r>
            </w:hyperlink>
          </w:p>
        </w:tc>
        <w:tc>
          <w:tcPr>
            <w:tcW w:w="120" w:type="dxa"/>
            <w:vAlign w:val="bottom"/>
            <w:tcBorders>
              <w:top w:val="single" w:sz="8" w:color="0000EE"/>
            </w:tcBorders>
            <w:gridSpan w:val="3"/>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herein).</w:t>
              </w:r>
            </w:hyperlink>
          </w:p>
        </w:tc>
        <w:tc>
          <w:tcPr>
            <w:tcW w:w="9440" w:type="dxa"/>
            <w:vAlign w:val="bottom"/>
            <w:gridSpan w:val="2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14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61</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Forbearance Agreement, dated April 17, 2017, among Xtant Medical Holdings, Inc., Bacterin International, Inc., X-spine Systems, Inc.,</w:t>
              </w:r>
            </w:hyperlink>
          </w:p>
        </w:tc>
        <w:tc>
          <w:tcPr>
            <w:tcW w:w="240" w:type="dxa"/>
            <w:vAlign w:val="bottom"/>
            <w:gridSpan w:val="9"/>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7"/>
              </w:rPr>
            </w:pPr>
            <w:hyperlink r:id="rId140">
              <w:r>
                <w:rPr>
                  <w:rFonts w:ascii="Arial" w:cs="Arial" w:eastAsia="Arial" w:hAnsi="Arial"/>
                  <w:sz w:val="18"/>
                  <w:szCs w:val="18"/>
                  <w:color w:val="0000EE"/>
                  <w:w w:val="97"/>
                </w:rPr>
                <w:t>Xtant Medical, Inc. and Silicon Valley Bank (filed as Exhibit 10.1 to Form 8-K filed on April 19, 2017 and incorporated by reference</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140">
              <w:r>
                <w:rPr>
                  <w:rFonts w:ascii="Arial" w:cs="Arial" w:eastAsia="Arial" w:hAnsi="Arial"/>
                  <w:sz w:val="18"/>
                  <w:szCs w:val="18"/>
                  <w:color w:val="0000EE"/>
                  <w:w w:val="94"/>
                </w:rPr>
                <w:t>herein).</w:t>
              </w:r>
            </w:hyperlink>
          </w:p>
        </w:tc>
        <w:tc>
          <w:tcPr>
            <w:tcW w:w="9000" w:type="dxa"/>
            <w:vAlign w:val="bottom"/>
            <w:tcBorders>
              <w:top w:val="single" w:sz="8" w:color="0000EE"/>
            </w:tcBorders>
            <w:gridSpan w:val="10"/>
          </w:tcPr>
          <w:p>
            <w:pPr>
              <w:spacing w:after="0"/>
              <w:rPr>
                <w:sz w:val="17"/>
                <w:szCs w:val="17"/>
                <w:color w:val="auto"/>
              </w:rPr>
            </w:pPr>
          </w:p>
        </w:tc>
        <w:tc>
          <w:tcPr>
            <w:tcW w:w="440" w:type="dxa"/>
            <w:vAlign w:val="bottom"/>
            <w:gridSpan w:val="1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14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62</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Forbearance Agreement, dated April 21, 2017, among Xtant Medical Holdings, Inc., Bacterin International, Inc., X-spine Systems, Inc.,</w:t>
              </w:r>
            </w:hyperlink>
          </w:p>
        </w:tc>
        <w:tc>
          <w:tcPr>
            <w:tcW w:w="240" w:type="dxa"/>
            <w:vAlign w:val="bottom"/>
            <w:gridSpan w:val="9"/>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7"/>
              </w:rPr>
            </w:pPr>
            <w:hyperlink r:id="rId141">
              <w:r>
                <w:rPr>
                  <w:rFonts w:ascii="Arial" w:cs="Arial" w:eastAsia="Arial" w:hAnsi="Arial"/>
                  <w:sz w:val="18"/>
                  <w:szCs w:val="18"/>
                  <w:color w:val="0000EE"/>
                  <w:w w:val="97"/>
                </w:rPr>
                <w:t>Xtant Medical, Inc. and Silicon Valley Bank (filed as Exhibit 10.1 to Form 8-K filed on April 24, 2017 and incorporated by reference</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herein).</w:t>
              </w:r>
            </w:hyperlink>
          </w:p>
        </w:tc>
        <w:tc>
          <w:tcPr>
            <w:tcW w:w="9000" w:type="dxa"/>
            <w:vAlign w:val="bottom"/>
            <w:tcBorders>
              <w:top w:val="single" w:sz="8" w:color="0000EE"/>
            </w:tcBorders>
            <w:gridSpan w:val="10"/>
          </w:tcPr>
          <w:p>
            <w:pPr>
              <w:spacing w:after="0"/>
              <w:rPr>
                <w:sz w:val="17"/>
                <w:szCs w:val="17"/>
                <w:color w:val="auto"/>
              </w:rPr>
            </w:pPr>
          </w:p>
        </w:tc>
        <w:tc>
          <w:tcPr>
            <w:tcW w:w="440" w:type="dxa"/>
            <w:vAlign w:val="bottom"/>
            <w:gridSpan w:val="1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14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63</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tcBorders>
              <w:bottom w:val="single" w:sz="8" w:color="0000EE"/>
            </w:tcBorders>
            <w:gridSpan w:val="20"/>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Forbearance Agreement, dated April 30, 2017, by and among Xtant Medical Holdings, Inc., Bacterin International, Inc., X-spine Systems,</w:t>
              </w:r>
            </w:hyperlink>
          </w:p>
        </w:tc>
        <w:tc>
          <w:tcPr>
            <w:tcW w:w="80" w:type="dxa"/>
            <w:vAlign w:val="bottom"/>
            <w:gridSpan w:val="3"/>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Inc., Xtant Medical, Inc. and Silicon Valley Bank (filed as Exhibit 10.2 to Form 8-K filed on May 4, 2017 and incorporated by reference</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herein).</w:t>
              </w:r>
            </w:hyperlink>
          </w:p>
        </w:tc>
        <w:tc>
          <w:tcPr>
            <w:tcW w:w="9220" w:type="dxa"/>
            <w:vAlign w:val="bottom"/>
            <w:tcBorders>
              <w:top w:val="single" w:sz="8" w:color="0000EE"/>
            </w:tcBorders>
            <w:gridSpan w:val="14"/>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14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64</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Agreement, dated May 8, 2017, between Xtant Medical Holdings, Inc. and Aurora Management Partners Inc. (filed as Exhibit 10.2 to</w:t>
              </w:r>
            </w:hyperlink>
          </w:p>
        </w:tc>
        <w:tc>
          <w:tcPr>
            <w:tcW w:w="400" w:type="dxa"/>
            <w:vAlign w:val="bottom"/>
            <w:gridSpan w:val="11"/>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Form 8-K filed on May 12, 2017 and incorporated by reference herein).</w:t>
              </w:r>
            </w:hyperlink>
          </w:p>
        </w:tc>
        <w:tc>
          <w:tcPr>
            <w:tcW w:w="4820" w:type="dxa"/>
            <w:vAlign w:val="bottom"/>
            <w:gridSpan w:val="18"/>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14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65</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tcBorders>
              <w:bottom w:val="single" w:sz="8" w:color="0000EE"/>
            </w:tcBorders>
            <w:gridSpan w:val="8"/>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Restructuring and Exchange Agreement, dated January 11, 2018, by and among ROS Acquisition Offshore LP, OrbiMed Royalty</w:t>
              </w:r>
            </w:hyperlink>
          </w:p>
        </w:tc>
        <w:tc>
          <w:tcPr>
            <w:tcW w:w="720" w:type="dxa"/>
            <w:vAlign w:val="bottom"/>
            <w:gridSpan w:val="15"/>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Opportunities II, LP, Bruce Fund, Inc., Park West Partners International, Limited, Park West Investors Master Fund, Limited, and</w:t>
              </w:r>
            </w:hyperlink>
          </w:p>
        </w:tc>
        <w:tc>
          <w:tcPr>
            <w:tcW w:w="720" w:type="dxa"/>
            <w:vAlign w:val="bottom"/>
            <w:gridSpan w:val="1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Telemetry Securities, L.L.C. (filed as Exhibit 10.1 to Form 8-K filed on January 12, 2018 and incorporated by reference herein).</w:t>
              </w:r>
            </w:hyperlink>
          </w:p>
        </w:tc>
        <w:tc>
          <w:tcPr>
            <w:tcW w:w="760" w:type="dxa"/>
            <w:vAlign w:val="bottom"/>
            <w:gridSpan w:val="16"/>
          </w:tcPr>
          <w:p>
            <w:pPr>
              <w:spacing w:after="0"/>
              <w:rPr>
                <w:sz w:val="17"/>
                <w:szCs w:val="17"/>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r:id="rId145">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7"/>
              </w:rPr>
            </w:pPr>
            <w:hyperlink r:id="rId145">
              <w:r>
                <w:rPr>
                  <w:rFonts w:ascii="Arial" w:cs="Arial" w:eastAsia="Arial" w:hAnsi="Arial"/>
                  <w:sz w:val="18"/>
                  <w:szCs w:val="18"/>
                  <w:color w:val="0000EE"/>
                  <w:w w:val="97"/>
                </w:rPr>
                <w:t>Subsidiaries of the Registrant (filed as Exhibit 21.1 to Form S-1/A filed on August 25, 2015 and incorporated by reference herein).</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Consent of Independent Registered Public Accounting Firm, EKS&amp;H LLLP</w:t>
            </w:r>
          </w:p>
        </w:tc>
        <w:tc>
          <w:tcPr>
            <w:tcW w:w="4540" w:type="dxa"/>
            <w:vAlign w:val="bottom"/>
            <w:gridSpan w:val="17"/>
          </w:tcPr>
          <w:p>
            <w:pPr>
              <w:spacing w:after="0"/>
              <w:rPr>
                <w:sz w:val="24"/>
                <w:szCs w:val="24"/>
                <w:color w:val="auto"/>
              </w:rPr>
            </w:pPr>
          </w:p>
        </w:tc>
      </w:tr>
      <w:tr>
        <w:trPr>
          <w:trHeight w:val="412"/>
        </w:trPr>
        <w:tc>
          <w:tcPr>
            <w:tcW w:w="420" w:type="dxa"/>
            <w:vAlign w:val="bottom"/>
            <w:gridSpan w:val="2"/>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3"/>
          </w:tcPr>
          <w:p>
            <w:pPr>
              <w:spacing w:after="0"/>
              <w:rPr>
                <w:sz w:val="20"/>
                <w:szCs w:val="20"/>
                <w:color w:val="auto"/>
              </w:rPr>
            </w:pPr>
            <w:r>
              <w:rPr>
                <w:rFonts w:ascii="Arial" w:cs="Arial" w:eastAsia="Arial" w:hAnsi="Arial"/>
                <w:sz w:val="18"/>
                <w:szCs w:val="18"/>
                <w:color w:val="0000EE"/>
              </w:rPr>
              <w:t>Consent of Fox Rothschild LLP (included in Exhibit 5.1)</w:t>
            </w:r>
          </w:p>
        </w:tc>
      </w:tr>
      <w:tr>
        <w:trPr>
          <w:trHeight w:val="412"/>
        </w:trPr>
        <w:tc>
          <w:tcPr>
            <w:tcW w:w="420" w:type="dxa"/>
            <w:vAlign w:val="bottom"/>
            <w:tcBorders>
              <w:top w:val="single" w:sz="8" w:color="0000EE"/>
            </w:tcBorders>
            <w:gridSpan w:val="2"/>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Borders>
              <w:top w:val="single" w:sz="8" w:color="0000EE"/>
            </w:tcBorders>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Power of Attorney (included on signature page)</w:t>
              </w:r>
            </w:hyperlink>
          </w:p>
        </w:tc>
        <w:tc>
          <w:tcPr>
            <w:tcW w:w="5920" w:type="dxa"/>
            <w:vAlign w:val="bottom"/>
            <w:gridSpan w:val="20"/>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4" w:name="page45"/>
    <w:bookmarkEnd w:id="44"/>
    <w:p>
      <w:pPr>
        <w:ind w:left="620" w:hanging="612"/>
        <w:spacing w:after="0"/>
        <w:tabs>
          <w:tab w:leader="none" w:pos="6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Schedules have been omitted because the information required to be set forth therein is not applicable or is shown in the financial statements or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260" w:hanging="604"/>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520" w:hanging="567"/>
        <w:spacing w:after="0"/>
        <w:tabs>
          <w:tab w:leader="none" w:pos="25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220" w:firstLine="1953"/>
        <w:spacing w:after="0" w:line="293" w:lineRule="auto"/>
        <w:tabs>
          <w:tab w:leader="none" w:pos="2566"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280" w:firstLine="1953"/>
        <w:spacing w:after="0" w:line="277" w:lineRule="auto"/>
        <w:tabs>
          <w:tab w:leader="none" w:pos="2616"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shall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right="240" w:firstLine="1305"/>
        <w:spacing w:after="0" w:line="264" w:lineRule="auto"/>
        <w:tabs>
          <w:tab w:leader="none" w:pos="19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60" w:firstLine="1305"/>
        <w:spacing w:after="0" w:line="277" w:lineRule="auto"/>
        <w:tabs>
          <w:tab w:leader="none" w:pos="19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00" w:firstLine="656"/>
        <w:spacing w:after="0" w:line="25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5" w:name="page46"/>
    <w:bookmarkEnd w:id="45"/>
    <w:p>
      <w:pPr>
        <w:ind w:left="-60" w:firstLine="656"/>
        <w:spacing w:after="0" w:line="254" w:lineRule="auto"/>
        <w:tabs>
          <w:tab w:leader="none" w:pos="11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Belgrade, State of Montana on May 15, 2018.</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XTANT MEDICAL HOLDINGS,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D. O’Connell</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Carl D. O’Connell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the undersigned directors and officers of Xtant Medical Holdings, Inc., hereby severally constitute and appoint Jeffrey Peters and Carl D. O’Connell, and each of them, our true and lawful attorney-in-fact and agent, with full power to each of them, to sign for us and in our names in the capacities indicated below, this registration statement on Form S-1 and any and all post-effective amendments to said registration statement (including post-effective amendments or any abbreviated registration statement and any amendments thereto filed pursuant to Rule 462(b) increasing the number of securities for which registration is sought), and to file or cause to be filed the same, with all supplements, amendments and exhibits thereto and other documents in connection therewith, with the Securities and Exchange Commission, granting unto said attorneys-in-fact,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 or his substitute, shall do or cause to be done by virtue of this Power of Attorney.</w:t>
      </w:r>
    </w:p>
    <w:p>
      <w:pPr>
        <w:spacing w:after="0" w:line="19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power of attorney have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and Signature</w:t>
            </w:r>
          </w:p>
        </w:tc>
        <w:tc>
          <w:tcPr>
            <w:tcW w:w="24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11"/>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3640" w:type="dxa"/>
            <w:vAlign w:val="bottom"/>
          </w:tcPr>
          <w:p>
            <w:pPr>
              <w:spacing w:after="0"/>
              <w:rPr>
                <w:sz w:val="24"/>
                <w:szCs w:val="24"/>
                <w:color w:val="auto"/>
              </w:rPr>
            </w:pPr>
          </w:p>
        </w:tc>
      </w:tr>
      <w:tr>
        <w:trPr>
          <w:trHeight w:val="23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Carl D. O’Connell</w:t>
            </w:r>
          </w:p>
        </w:tc>
        <w:tc>
          <w:tcPr>
            <w:tcW w:w="2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May 15, 2018</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4"/>
              </w:rPr>
              <w:t>Carl D. O’Connell</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04"/>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Deputy Chief Restructuring Officer</w:t>
            </w:r>
          </w:p>
        </w:tc>
        <w:tc>
          <w:tcPr>
            <w:tcW w:w="3640" w:type="dxa"/>
            <w:vAlign w:val="bottom"/>
          </w:tcPr>
          <w:p>
            <w:pPr>
              <w:spacing w:after="0"/>
              <w:rPr>
                <w:sz w:val="24"/>
                <w:szCs w:val="24"/>
                <w:color w:val="auto"/>
              </w:rPr>
            </w:pPr>
          </w:p>
        </w:tc>
      </w:tr>
      <w:tr>
        <w:trPr>
          <w:trHeight w:val="23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Laura Kendall</w:t>
            </w:r>
          </w:p>
        </w:tc>
        <w:tc>
          <w:tcPr>
            <w:tcW w:w="2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May 15, 2018</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Laura Kendall</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Jeffrey Peters</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May 15, 2018</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88"/>
              </w:rPr>
              <w:t>Jeffrey Peters</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K. Bakewell</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May 15, 2018</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John K. Bakewell</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Eggenberg</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May 15, 2018</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0"/>
              </w:rPr>
              <w:t>Michael Eggenberg</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Mainelli</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May 15, 2018</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6"/>
              </w:rPr>
              <w:t>Michael Mainelli</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McNamara</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May 15, 2018</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Robert McNamara</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Matthew Rizzo</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May 15, 2018</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4"/>
              </w:rPr>
              <w:t>Matthew Rizzo</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634"/>
        </w:trPr>
        <w:tc>
          <w:tcPr>
            <w:tcW w:w="36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right"/>
              <w:ind w:right="165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37945" cy="617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0">
                      <a:extLst>
                        <a:ext uri="{28A0092B-C50C-407E-A947-70E740481C1C}"/>
                      </a:extLst>
                    </a:blip>
                    <a:srcRect/>
                    <a:stretch>
                      <a:fillRect/>
                    </a:stretch>
                  </pic:blipFill>
                  <pic:spPr bwMode="auto">
                    <a:xfrm>
                      <a:off x="0" y="0"/>
                      <a:ext cx="13379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Campbell Mithun Tower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222 South Ninth Street, Suite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55402-3338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612.607.7000 Fax 612.607.7100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www.foxrothschild.com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Xtant Medical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664 Cruiser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Belgrade, Montana 59714</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acted as counsel to Xtant Medical Holdings, Inc., a Delaware corporation (the “Company”), in connection with the Company’s registration of the resale, from time to time, of an aggregate of 11,536,773 shares of common stock of the Company, par value $0.000001 per share (the “Common Stock”), by the selling stockholders listed therein under “Selling Stockholders” pursuant to a registration statement on Form S-1 (the “Registration Statement”) under the Securities Act of 1933, as amended (the “Securities Act”), filed by the Company with the Securities and Exchange Commission (the “SEC”) on May 15, 2018. The 11,536,773 shares of Common Stock registered under the Registration Statement are collectively referred to herein as the “Shares”.</w:t>
      </w:r>
    </w:p>
    <w:p>
      <w:pPr>
        <w:spacing w:after="0" w:line="19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connection with this opinion, we have examined and relied upon the originals, or copies certified or otherwise identified to our satisfaction, of such records, documents, certificates and other instruments as in our judgment are necessary or appropriate to enable us to render the opinions expressed below. As to certain factual matters, we have relied upon certificates of the officers of the Company and have not sought to independently verify such matters.</w:t>
      </w:r>
    </w:p>
    <w:p>
      <w:pPr>
        <w:spacing w:after="0" w:line="1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rendering this opinion,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authenticity of the originals of such latter documents;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ind w:right="40" w:firstLine="648"/>
        <w:spacing w:after="0" w:line="302" w:lineRule="auto"/>
        <w:rPr>
          <w:sz w:val="20"/>
          <w:szCs w:val="20"/>
          <w:color w:val="auto"/>
        </w:rPr>
      </w:pPr>
      <w:r>
        <w:rPr>
          <w:rFonts w:ascii="Arial" w:cs="Arial" w:eastAsia="Arial" w:hAnsi="Arial"/>
          <w:sz w:val="16"/>
          <w:szCs w:val="16"/>
          <w:color w:val="auto"/>
        </w:rPr>
        <w:t>Our opinion herein is expressed solely with respect to the General Corporation Law of the State of Delaware (including the statutory provisions, all applicable provisions of the Delaware Constitution and reported judicial decisions interpreting the foregoing) and is based on these laws as in effect on the date hereof. We express no opinion as to whether the laws of any jurisdiction are applicable to the subject matter hereof. We are not rendering any opinion as to compliance with any federal or other state law, rule or regulation relating to securities, or to the sale or issuance thereof.</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 the Shares have been duly authorized and validly issued and are fully paid and nonassessable.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 and regulations of the SEC thereunder. This opinion is expressed as of the date hereof, and we disclaim any undertaking to advise you of any subsequent changes in the facts stated or assumed herein or of any subsequent changes in applicable law.</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Fox Rothschild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Xtant Medical Holdings, Inc.:</w:t>
      </w:r>
    </w:p>
    <w:p>
      <w:pPr>
        <w:spacing w:after="0" w:line="21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S-1) for the registration of 11,536,773 shares of common stock and the incorporation by reference therein of our report dated April 2, 2018, with respect to the consolidated financial statements of Xtant Medical Holdings, Inc. included in its Annual Report on Form 10-K for the year ended December 31, 2017, filed with the Securities and Exchange Commission.</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EKS&amp;H LLLP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1)"/>
      <w:numFmt w:val="lowerLetter"/>
      <w:start w:val="2"/>
    </w:lvl>
  </w:abstractNum>
  <w:abstractNum w:abstractNumId="16">
    <w:nsid w:val="2443A858"/>
    <w:multiLevelType w:val="hybridMultilevel"/>
    <w:lvl w:ilvl="0">
      <w:lvlJc w:val="left"/>
      <w:lvlText w:val="(%1)"/>
      <w:numFmt w:val="lowerRoman"/>
      <w:start w:val="10"/>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lowerLetter"/>
      <w:start w:val="2"/>
    </w:lvl>
  </w:abstractNum>
  <w:abstractNum w:abstractNumId="24">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54E49EB4"/>
    <w:multiLevelType w:val="hybridMultilevel"/>
    <w:lvl w:ilvl="0">
      <w:lvlJc w:val="left"/>
      <w:lvlText w:val="%1"/>
      <w:numFmt w:val="lowerLetter"/>
      <w:start w:val="1"/>
    </w:lvl>
    <w:lvl w:ilvl="1">
      <w:lvlJc w:val="left"/>
      <w:lvlText w:val="(%2)"/>
      <w:numFmt w:val="decimal"/>
      <w:start w:val="2"/>
    </w:lvl>
  </w:abstractNum>
  <w:abstractNum w:abstractNumId="26">
    <w:nsid w:val="71F32454"/>
    <w:multiLevelType w:val="hybridMultilevel"/>
    <w:lvl w:ilvl="0">
      <w:lvlJc w:val="left"/>
      <w:lvlText w:val="(%1)"/>
      <w:numFmt w:val="lowerLetter"/>
      <w:start w:val="2"/>
    </w:lvl>
    <w:lvl w:ilvl="1">
      <w:lvlJc w:val="left"/>
      <w:lvlText w:val="%2"/>
      <w:numFmt w:val="decimal"/>
      <w:start w:val="1"/>
    </w:lvl>
  </w:abstractNum>
  <w:abstractNum w:abstractNumId="27">
    <w:nsid w:val="2CA8861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146" Type="http://schemas.openxmlformats.org/officeDocument/2006/relationships/image" Target="media/image52.png"/><Relationship Id="rId147" Type="http://schemas.openxmlformats.org/officeDocument/2006/relationships/image" Target="media/image53.png"/><Relationship Id="rId148" Type="http://schemas.openxmlformats.org/officeDocument/2006/relationships/image" Target="media/image54.png"/><Relationship Id="rId149" Type="http://schemas.openxmlformats.org/officeDocument/2006/relationships/image" Target="media/image55.png"/><Relationship Id="rId150" Type="http://schemas.openxmlformats.org/officeDocument/2006/relationships/image" Target="media/image56.jpeg"/><Relationship Id="rId151" Type="http://schemas.openxmlformats.org/officeDocument/2006/relationships/image" Target="media/image57.png"/><Relationship Id="rId152" Type="http://schemas.openxmlformats.org/officeDocument/2006/relationships/image" Target="media/image58.png"/><Relationship Id="rId153" Type="http://schemas.openxmlformats.org/officeDocument/2006/relationships/image" Target="media/image59.png"/><Relationship Id="rId154" Type="http://schemas.openxmlformats.org/officeDocument/2006/relationships/image" Target="media/image60.png"/><Relationship Id="rId155" Type="http://schemas.openxmlformats.org/officeDocument/2006/relationships/image" Target="media/image61.png"/><Relationship Id="rId59" Type="http://schemas.openxmlformats.org/officeDocument/2006/relationships/hyperlink" Target="http://www.sec.gov/Archives/edgar/data/1453593/000114420410035938/v189505_ex2-1.htm" TargetMode="External"/><Relationship Id="rId60" Type="http://schemas.openxmlformats.org/officeDocument/2006/relationships/hyperlink" Target="http://www.sec.gov/Archives/edgar/data/1453593/000114420415016762/v404722_ex10-1.htm" TargetMode="External"/><Relationship Id="rId61" Type="http://schemas.openxmlformats.org/officeDocument/2006/relationships/hyperlink" Target="http://www.sec.gov/Archives/edgar/data/1453593/000114420415023566/v407498_ex10-23.htm" TargetMode="External"/><Relationship Id="rId62" Type="http://schemas.openxmlformats.org/officeDocument/2006/relationships/hyperlink" Target="http://www.sec.gov/Archives/edgar/data/1453593/000114420415044453/v416054_ex10-1.htm" TargetMode="External"/><Relationship Id="rId63" Type="http://schemas.openxmlformats.org/officeDocument/2006/relationships/hyperlink" Target="http://www.sec.gov/Archives/edgar/data/1453593/000114420418008047/tv485903_ex3-1.htm" TargetMode="External"/><Relationship Id="rId64" Type="http://schemas.openxmlformats.org/officeDocument/2006/relationships/hyperlink" Target="http://www.sec.gov/Archives/edgar/data/1453593/000114420418009541/tv486363_ex3-1.htm" TargetMode="External"/><Relationship Id="rId65" Type="http://schemas.openxmlformats.org/officeDocument/2006/relationships/hyperlink" Target="http://www.sec.gov/Archives/edgar/data/1453593/000114420415071989/v427346_ex4-2.htm" TargetMode="External"/><Relationship Id="rId66" Type="http://schemas.openxmlformats.org/officeDocument/2006/relationships/hyperlink" Target="http://www.sec.gov/Archives/edgar/data/1453593/000114420415016762/v404722_ex4-1.htm" TargetMode="External"/><Relationship Id="rId67" Type="http://schemas.openxmlformats.org/officeDocument/2006/relationships/hyperlink" Target="http://www.sec.gov/Archives/edgar/data/1453593/000114420415045724/v416768_ex10-3.htm" TargetMode="External"/><Relationship Id="rId68" Type="http://schemas.openxmlformats.org/officeDocument/2006/relationships/hyperlink" Target="http://www.sec.gov/Archives/edgar/data/1453593/000155278116001559/e00241_ex10-4.htm" TargetMode="External"/><Relationship Id="rId69" Type="http://schemas.openxmlformats.org/officeDocument/2006/relationships/hyperlink" Target="http://www.sec.gov/Archives/edgar/data/1453593/000114420417003181/v457197_ex10-9.htm" TargetMode="External"/><Relationship Id="rId70" Type="http://schemas.openxmlformats.org/officeDocument/2006/relationships/hyperlink" Target="http://www.sec.gov/Archives/edgar/data/1453593/000114420417003181/v457197_ex10-13.htm" TargetMode="External"/><Relationship Id="rId71" Type="http://schemas.openxmlformats.org/officeDocument/2006/relationships/hyperlink" Target="http://www.sec.gov/Archives/edgar/data/1453593/000114420418009541/tv486363_ex10-3.htm" TargetMode="External"/><Relationship Id="rId72" Type="http://schemas.openxmlformats.org/officeDocument/2006/relationships/hyperlink" Target="http://www.sec.gov/Archives/edgar/data/1453593/000114420418009541/tv486363_ex10-4.htm" TargetMode="External"/><Relationship Id="rId73" Type="http://schemas.openxmlformats.org/officeDocument/2006/relationships/hyperlink" Target="http://www.sec.gov/Archives/edgar/data/1453593/000114420415045724/v416768_ex10-2.htm" TargetMode="External"/><Relationship Id="rId74" Type="http://schemas.openxmlformats.org/officeDocument/2006/relationships/hyperlink" Target="http://www.sec.gov/Archives/edgar/data/1453593/000114420417043872/v473538_ex10-2.htm" TargetMode="External"/><Relationship Id="rId75" Type="http://schemas.openxmlformats.org/officeDocument/2006/relationships/hyperlink" Target="http://www.sec.gov/Archives/edgar/data/1453593/000114420417051060/v476332_ex10-2.htm" TargetMode="External"/><Relationship Id="rId76" Type="http://schemas.openxmlformats.org/officeDocument/2006/relationships/hyperlink" Target="http://www.sec.gov/Archives/edgar/data/1453593/000114420417055181/tv478191_ex10-2.htm" TargetMode="External"/><Relationship Id="rId77" Type="http://schemas.openxmlformats.org/officeDocument/2006/relationships/hyperlink" Target="http://www.sec.gov/Archives/edgar/data/1453593/000114420417062064/tv480700_ex10-2.htm" TargetMode="External"/><Relationship Id="rId78" Type="http://schemas.openxmlformats.org/officeDocument/2006/relationships/hyperlink" Target="http://www.sec.gov/Archives/edgar/data/1453593/000114420417065910/tv482342_ex10-2.htm" TargetMode="External"/><Relationship Id="rId79" Type="http://schemas.openxmlformats.org/officeDocument/2006/relationships/hyperlink" Target="http://www.sec.gov/Archives/edgar/data/1453593/000114420418004833/tv484496_ex10-2.htm" TargetMode="External"/><Relationship Id="rId80" Type="http://schemas.openxmlformats.org/officeDocument/2006/relationships/hyperlink" Target="http://www.sec.gov/Archives/edgar/data/1453593/000114420417060277/tv478079_ex10-6.htm" TargetMode="External"/><Relationship Id="rId81" Type="http://schemas.openxmlformats.org/officeDocument/2006/relationships/hyperlink" Target="http://www.sec.gov/Archives/edgar/data/1453593/000114420415065520/v420794_ex10-8.htm" TargetMode="External"/><Relationship Id="rId82" Type="http://schemas.openxmlformats.org/officeDocument/2006/relationships/hyperlink" Target="http://www.sec.gov/Archives/edgar/data/1453593/000114420412026205/v311268_ex10-23.htm" TargetMode="External"/><Relationship Id="rId83" Type="http://schemas.openxmlformats.org/officeDocument/2006/relationships/hyperlink" Target="http://www.sec.gov/Archives/edgar/data/1453593/000114420416090163/v427833_ex10-4.htm" TargetMode="External"/><Relationship Id="rId84" Type="http://schemas.openxmlformats.org/officeDocument/2006/relationships/hyperlink" Target="http://www.sec.gov/Archives/edgar/data/1453593/000155278117000046/e17029_ex10-1.htm" TargetMode="External"/><Relationship Id="rId85" Type="http://schemas.openxmlformats.org/officeDocument/2006/relationships/hyperlink" Target="http://www.sec.gov/Archives/edgar/data/1453593/000114420416127142/v450134_ex10-1.htm" TargetMode="External"/><Relationship Id="rId86" Type="http://schemas.openxmlformats.org/officeDocument/2006/relationships/hyperlink" Target="http://www.sec.gov/Archives/edgar/data/1453593/000155278117000081/e17075_ex10-1.htm" TargetMode="External"/><Relationship Id="rId87" Type="http://schemas.openxmlformats.org/officeDocument/2006/relationships/hyperlink" Target="http://www.sec.gov/Archives/edgar/data/1453593/000114420416127142/v450134_ex10-2.htm" TargetMode="External"/><Relationship Id="rId88" Type="http://schemas.openxmlformats.org/officeDocument/2006/relationships/hyperlink" Target="http://www.sec.gov/Archives/edgar/data/1453593/000143774916037022/ex10-3.htm" TargetMode="External"/><Relationship Id="rId89" Type="http://schemas.openxmlformats.org/officeDocument/2006/relationships/hyperlink" Target="http://www.sec.gov/Archives/edgar/data/1453593/000114420415044453/v416054_ex10-2.htm" TargetMode="External"/><Relationship Id="rId90" Type="http://schemas.openxmlformats.org/officeDocument/2006/relationships/hyperlink" Target="http://www.sec.gov/Archives/edgar/data/1453593/000114420415044453/v416054_ex10-4.htm" TargetMode="External"/><Relationship Id="rId91" Type="http://schemas.openxmlformats.org/officeDocument/2006/relationships/hyperlink" Target="http://www.sec.gov/Archives/edgar/data/1453593/000114420415044453/v416054_ex10-5.htm" TargetMode="External"/><Relationship Id="rId92" Type="http://schemas.openxmlformats.org/officeDocument/2006/relationships/hyperlink" Target="http://www.sec.gov/Archives/edgar/data/1453593/000114420416092369/v435910_ex10-1.htm" TargetMode="External"/><Relationship Id="rId93" Type="http://schemas.openxmlformats.org/officeDocument/2006/relationships/hyperlink" Target="http://www.sec.gov/Archives/edgar/data/1453593/000155278116001559/e00241_ex10-1.htm" TargetMode="External"/><Relationship Id="rId94" Type="http://schemas.openxmlformats.org/officeDocument/2006/relationships/hyperlink" Target="http://www.sec.gov/Archives/edgar/data/1453593/000155278116001559/e00241_ex10-2.htm" TargetMode="External"/><Relationship Id="rId95" Type="http://schemas.openxmlformats.org/officeDocument/2006/relationships/hyperlink" Target="http://www.sec.gov/Archives/edgar/data/1453593/000155278116001559/e00241_ex10-3.htm" TargetMode="External"/><Relationship Id="rId96" Type="http://schemas.openxmlformats.org/officeDocument/2006/relationships/hyperlink" Target="http://www.sec.gov/Archives/edgar/data/1453593/000155278116001559/e00241_ex10-5.htm" TargetMode="External"/><Relationship Id="rId97" Type="http://schemas.openxmlformats.org/officeDocument/2006/relationships/hyperlink" Target="http://www.sec.gov/Archives/edgar/data/1453593/000155278116001869/e00434_ex10-1.htm" TargetMode="External"/><Relationship Id="rId98" Type="http://schemas.openxmlformats.org/officeDocument/2006/relationships/hyperlink" Target="http://www.sec.gov/Archives/edgar/data/1453593/000114420416125726/v449569_ex10-1.htm" TargetMode="External"/><Relationship Id="rId99" Type="http://schemas.openxmlformats.org/officeDocument/2006/relationships/hyperlink" Target="http://www.sec.gov/Archives/edgar/data/1453593/000114420416105892/v441339_ex10-1.htm" TargetMode="External"/><Relationship Id="rId100" Type="http://schemas.openxmlformats.org/officeDocument/2006/relationships/hyperlink" Target="http://www.sec.gov/Archives/edgar/data/1453593/000155278116001926/e00458_ex10-1.htm" TargetMode="External"/><Relationship Id="rId101" Type="http://schemas.openxmlformats.org/officeDocument/2006/relationships/hyperlink" Target="http://www.sec.gov/Archives/edgar/data/1453593/000114420416105892/v441339_ex10-2.htm" TargetMode="External"/><Relationship Id="rId102" Type="http://schemas.openxmlformats.org/officeDocument/2006/relationships/hyperlink" Target="http://www.sec.gov/Archives/edgar/data/1453593/000114420417003181/v457197_ex10-2.htm" TargetMode="External"/><Relationship Id="rId103" Type="http://schemas.openxmlformats.org/officeDocument/2006/relationships/hyperlink" Target="http://www.sec.gov/Archives/edgar/data/1453593/000114420417003181/v457197_ex10-3.htm" TargetMode="External"/><Relationship Id="rId104" Type="http://schemas.openxmlformats.org/officeDocument/2006/relationships/hyperlink" Target="http://www.sec.gov/Archives/edgar/data/1453593/000114420417003181/v457197_ex10-4.htm" TargetMode="External"/><Relationship Id="rId105" Type="http://schemas.openxmlformats.org/officeDocument/2006/relationships/hyperlink" Target="http://www.sec.gov/Archives/edgar/data/1453593/000114420417003181/v457197_ex10-5.htm" TargetMode="External"/><Relationship Id="rId106" Type="http://schemas.openxmlformats.org/officeDocument/2006/relationships/hyperlink" Target="http://www.sec.gov/Archives/edgar/data/1453593/000114420417003181/v457197_ex10-6.htm" TargetMode="External"/><Relationship Id="rId107" Type="http://schemas.openxmlformats.org/officeDocument/2006/relationships/hyperlink" Target="http://www.sec.gov/Archives/edgar/data/1453593/000114420417003181/v457197_ex10-10.htm" TargetMode="External"/><Relationship Id="rId108" Type="http://schemas.openxmlformats.org/officeDocument/2006/relationships/hyperlink" Target="http://www.sec.gov/Archives/edgar/data/1453593/000114420417003181/v457197_ex10-7.htm" TargetMode="External"/><Relationship Id="rId109" Type="http://schemas.openxmlformats.org/officeDocument/2006/relationships/hyperlink" Target="http://www.sec.gov/Archives/edgar/data/1453593/000114420417003181/v457197_ex10-8.htm" TargetMode="External"/><Relationship Id="rId110" Type="http://schemas.openxmlformats.org/officeDocument/2006/relationships/hyperlink" Target="http://www.sec.gov/Archives/edgar/data/1453593/000114420417003181/v457197_ex10-11.htm" TargetMode="External"/><Relationship Id="rId111" Type="http://schemas.openxmlformats.org/officeDocument/2006/relationships/hyperlink" Target="http://www.sec.gov/Archives/edgar/data/1453593/000114420417003181/v457197_ex10-12.htm" TargetMode="External"/><Relationship Id="rId112" Type="http://schemas.openxmlformats.org/officeDocument/2006/relationships/hyperlink" Target="http://www.sec.gov/Archives/edgar/data/1453593/000114420418009541/tv486363_ex10-2.htm" TargetMode="External"/><Relationship Id="rId113" Type="http://schemas.openxmlformats.org/officeDocument/2006/relationships/hyperlink" Target="http://www.sec.gov/Archives/edgar/data/1453593/000114420417003181/v457197_ex10-1.htm" TargetMode="External"/><Relationship Id="rId114" Type="http://schemas.openxmlformats.org/officeDocument/2006/relationships/hyperlink" Target="http://www.sec.gov/Archives/edgar/data/1453593/000114420417005385/v458166_ex10-1.htm" TargetMode="External"/><Relationship Id="rId115" Type="http://schemas.openxmlformats.org/officeDocument/2006/relationships/hyperlink" Target="http://www.sec.gov/Archives/edgar/data/1453593/000155278117000077/e17070_ex10-1.htm" TargetMode="External"/><Relationship Id="rId116" Type="http://schemas.openxmlformats.org/officeDocument/2006/relationships/hyperlink" Target="http://www.sec.gov/Archives/edgar/data/1453593/000155278117000098/e17098_ex10-1.htm" TargetMode="External"/><Relationship Id="rId117" Type="http://schemas.openxmlformats.org/officeDocument/2006/relationships/hyperlink" Target="http://www.sec.gov/Archives/edgar/data/1453593/000155278117000180/e17184_ex10-1.htm" TargetMode="External"/><Relationship Id="rId118" Type="http://schemas.openxmlformats.org/officeDocument/2006/relationships/hyperlink" Target="http://www.sec.gov/Archives/edgar/data/1453593/000155278117000283/e17263_ex10-1.htm" TargetMode="External"/><Relationship Id="rId119" Type="http://schemas.openxmlformats.org/officeDocument/2006/relationships/hyperlink" Target="http://www.sec.gov/Archives/edgar/data/1453593/000155278117000317/e17272_ex10-1.htm" TargetMode="External"/><Relationship Id="rId120" Type="http://schemas.openxmlformats.org/officeDocument/2006/relationships/hyperlink" Target="http://www.sec.gov/Archives/edgar/data/1453593/000155278117000375/e17333_ex10-1.htm" TargetMode="External"/><Relationship Id="rId121" Type="http://schemas.openxmlformats.org/officeDocument/2006/relationships/hyperlink" Target="http://www.sec.gov/Archives/edgar/data/1453593/000155278117000421/e17356_ex10-1.htm" TargetMode="External"/><Relationship Id="rId122" Type="http://schemas.openxmlformats.org/officeDocument/2006/relationships/hyperlink" Target="http://www.sec.gov/Archives/edgar/data/1453593/000114420417043872/v473538_ex10-1.htm" TargetMode="External"/><Relationship Id="rId123" Type="http://schemas.openxmlformats.org/officeDocument/2006/relationships/hyperlink" Target="http://www.sec.gov/Archives/edgar/data/1453593/000114420417051060/v476332_ex10-1.htm" TargetMode="External"/><Relationship Id="rId124" Type="http://schemas.openxmlformats.org/officeDocument/2006/relationships/hyperlink" Target="http://www.sec.gov/Archives/edgar/data/1453593/000114420417055181/tv478191_ex10-1.htm" TargetMode="External"/><Relationship Id="rId125" Type="http://schemas.openxmlformats.org/officeDocument/2006/relationships/hyperlink" Target="http://www.sec.gov/Archives/edgar/data/1453593/000114420417062064/tv480700_ex10-1.htm" TargetMode="External"/><Relationship Id="rId126" Type="http://schemas.openxmlformats.org/officeDocument/2006/relationships/hyperlink" Target="http://www.sec.gov/Archives/edgar/data/1453593/000114420417065910/tv482342_ex10-1.htm" TargetMode="External"/><Relationship Id="rId127" Type="http://schemas.openxmlformats.org/officeDocument/2006/relationships/hyperlink" Target="http://www.sec.gov/Archives/edgar/data/1453593/000114420418004833/tv484496_ex10-1.htm" TargetMode="External"/><Relationship Id="rId128" Type="http://schemas.openxmlformats.org/officeDocument/2006/relationships/hyperlink" Target="http://www.sec.gov/Archives/edgar/data/1453593/000114420418009541/tv486363_ex10-1.htm" TargetMode="External"/><Relationship Id="rId129" Type="http://schemas.openxmlformats.org/officeDocument/2006/relationships/hyperlink" Target="http://www.sec.gov/Archives/edgar/data/1453593/000155278117000180/e17184_ex10-2.htm" TargetMode="External"/><Relationship Id="rId130" Type="http://schemas.openxmlformats.org/officeDocument/2006/relationships/hyperlink" Target="http://www.sec.gov/Archives/edgar/data/1453593/000155278117000180/e17184_ex10-3.htm" TargetMode="External"/><Relationship Id="rId131" Type="http://schemas.openxmlformats.org/officeDocument/2006/relationships/hyperlink" Target="http://www.sec.gov/Archives/edgar/data/1453593/000155278117000421/e17356_ex10-2.htm" TargetMode="External"/><Relationship Id="rId132" Type="http://schemas.openxmlformats.org/officeDocument/2006/relationships/hyperlink" Target="http://www.sec.gov/Archives/edgar/data/1453593/000114420417043872/v473538_ex10-3.htm" TargetMode="External"/><Relationship Id="rId133" Type="http://schemas.openxmlformats.org/officeDocument/2006/relationships/hyperlink" Target="http://www.sec.gov/Archives/edgar/data/1453593/000114420417051060/v476332_ex10-3.htm" TargetMode="External"/><Relationship Id="rId134" Type="http://schemas.openxmlformats.org/officeDocument/2006/relationships/hyperlink" Target="http://www.sec.gov/Archives/edgar/data/1453593/000114420417055181/tv478191_ex10-3.htm" TargetMode="External"/><Relationship Id="rId135" Type="http://schemas.openxmlformats.org/officeDocument/2006/relationships/hyperlink" Target="http://www.sec.gov/Archives/edgar/data/1453593/000114420417059058/tv479512_ex10-1.htm" TargetMode="External"/><Relationship Id="rId136" Type="http://schemas.openxmlformats.org/officeDocument/2006/relationships/hyperlink" Target="http://www.sec.gov/Archives/edgar/data/1453593/000114420417062064/tv480700_ex10-3.htm" TargetMode="External"/><Relationship Id="rId137" Type="http://schemas.openxmlformats.org/officeDocument/2006/relationships/hyperlink" Target="http://www.sec.gov/Archives/edgar/data/1453593/000114420417065910/tv482342_ex10-3.htm" TargetMode="External"/><Relationship Id="rId138" Type="http://schemas.openxmlformats.org/officeDocument/2006/relationships/hyperlink" Target="http://www.sec.gov/Archives/edgar/data/1453593/000114420418003172/tv483834_ex10-1.htm" TargetMode="External"/><Relationship Id="rId139" Type="http://schemas.openxmlformats.org/officeDocument/2006/relationships/hyperlink" Target="http://www.sec.gov/Archives/edgar/data/1453593/000114420418004833/tv484496_ex10-3.htm" TargetMode="External"/><Relationship Id="rId140" Type="http://schemas.openxmlformats.org/officeDocument/2006/relationships/hyperlink" Target="http://www.sec.gov/Archives/edgar/data/1453593/000155278117000213/e17205_ex10-1.htm" TargetMode="External"/><Relationship Id="rId141" Type="http://schemas.openxmlformats.org/officeDocument/2006/relationships/hyperlink" Target="http://www.sec.gov/Archives/edgar/data/1453593/000155278117000225/e17209_ex10-1.htm" TargetMode="External"/><Relationship Id="rId142" Type="http://schemas.openxmlformats.org/officeDocument/2006/relationships/hyperlink" Target="http://www.sec.gov/Archives/edgar/data/1453593/000155278117000283/e17263_ex10-2.htm" TargetMode="External"/><Relationship Id="rId143" Type="http://schemas.openxmlformats.org/officeDocument/2006/relationships/hyperlink" Target="http://www.sec.gov/Archives/edgar/data/1453593/000155278117000317/e17272_ex10-2.htm" TargetMode="External"/><Relationship Id="rId144" Type="http://schemas.openxmlformats.org/officeDocument/2006/relationships/hyperlink" Target="http://www.sec.gov/Archives/edgar/data/1453593/000114420418001982/tv483228_ex10-1.htm" TargetMode="External"/><Relationship Id="rId145" Type="http://schemas.openxmlformats.org/officeDocument/2006/relationships/hyperlink" Target="http://www.sec.gov/Archives/edgar/data/1453593/000114420415051663/v418935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2019-12-07T14:31:54Z</dcterms:created>
  <dcterms:modified xsi:type="dcterms:W3CDTF">2019-12-07T14:31:54Z</dcterms:modified>
</cp:coreProperties>
</file>